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ascii="Times New Roman" w:hAnsi="Times New Roman"/>
          <w:b/>
          <w:sz w:val="28"/>
          <w:szCs w:val="28"/>
        </w:rPr>
      </w:pPr>
    </w:p>
    <w:p>
      <w:pPr>
        <w:spacing w:after="156" w:afterLines="50" w:line="560" w:lineRule="exact"/>
        <w:jc w:val="center"/>
        <w:rPr>
          <w:rFonts w:ascii="Times New Roman" w:hAnsi="Times New Roman" w:eastAsia="方正小标宋简体"/>
          <w:b/>
          <w:sz w:val="44"/>
          <w:szCs w:val="44"/>
        </w:rPr>
      </w:pPr>
    </w:p>
    <w:p>
      <w:pPr>
        <w:spacing w:after="156" w:afterLines="50" w:line="560" w:lineRule="exact"/>
        <w:jc w:val="center"/>
        <w:rPr>
          <w:rFonts w:ascii="Times New Roman" w:hAnsi="Times New Roman" w:eastAsia="方正小标宋简体"/>
          <w:b/>
          <w:sz w:val="44"/>
          <w:szCs w:val="44"/>
        </w:rPr>
      </w:pPr>
    </w:p>
    <w:p>
      <w:pPr>
        <w:spacing w:after="156" w:afterLines="50" w:line="560" w:lineRule="exact"/>
        <w:jc w:val="center"/>
        <w:rPr>
          <w:rFonts w:ascii="Times New Roman" w:hAnsi="Times New Roman" w:eastAsia="方正小标宋简体"/>
          <w:b/>
          <w:sz w:val="52"/>
          <w:szCs w:val="52"/>
        </w:rPr>
      </w:pPr>
    </w:p>
    <w:p>
      <w:pPr>
        <w:spacing w:after="156" w:afterLines="50" w:line="560" w:lineRule="exact"/>
        <w:jc w:val="center"/>
        <w:rPr>
          <w:rFonts w:ascii="Times New Roman" w:hAnsi="Times New Roman" w:eastAsia="方正小标宋简体"/>
          <w:b/>
          <w:sz w:val="52"/>
          <w:szCs w:val="52"/>
        </w:rPr>
      </w:pPr>
      <w:r>
        <w:rPr>
          <w:rFonts w:ascii="Times New Roman" w:hAnsi="Times New Roman" w:eastAsia="方正小标宋简体"/>
          <w:b/>
          <w:sz w:val="52"/>
          <w:szCs w:val="52"/>
        </w:rPr>
        <w:t>学位授权点</w:t>
      </w:r>
      <w:r>
        <w:rPr>
          <w:rFonts w:hint="eastAsia" w:ascii="Times New Roman" w:hAnsi="Times New Roman" w:eastAsia="方正小标宋简体"/>
          <w:b/>
          <w:sz w:val="52"/>
          <w:szCs w:val="52"/>
        </w:rPr>
        <w:t>建设年度</w:t>
      </w:r>
      <w:r>
        <w:rPr>
          <w:rFonts w:ascii="Times New Roman" w:hAnsi="Times New Roman" w:eastAsia="方正小标宋简体"/>
          <w:b/>
          <w:sz w:val="52"/>
          <w:szCs w:val="52"/>
        </w:rPr>
        <w:t>报告</w:t>
      </w:r>
    </w:p>
    <w:p>
      <w:pPr>
        <w:spacing w:after="156" w:afterLines="50" w:line="56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（2</w:t>
      </w:r>
      <w:r>
        <w:rPr>
          <w:rFonts w:ascii="Times New Roman" w:hAnsi="Times New Roman" w:eastAsia="方正小标宋简体"/>
          <w:b/>
          <w:sz w:val="44"/>
          <w:szCs w:val="44"/>
        </w:rPr>
        <w:t>0</w:t>
      </w:r>
      <w:r>
        <w:rPr>
          <w:rFonts w:hint="eastAsia" w:ascii="Times New Roman" w:hAnsi="Times New Roman" w:eastAsia="方正小标宋简体"/>
          <w:b/>
          <w:sz w:val="44"/>
          <w:szCs w:val="44"/>
          <w:lang w:val="en-US" w:eastAsia="zh-CN"/>
        </w:rPr>
        <w:t>24</w:t>
      </w:r>
      <w:r>
        <w:rPr>
          <w:rFonts w:hint="eastAsia" w:ascii="Times New Roman" w:hAnsi="Times New Roman" w:eastAsia="方正小标宋简体"/>
          <w:b/>
          <w:sz w:val="44"/>
          <w:szCs w:val="44"/>
        </w:rPr>
        <w:t>年）</w:t>
      </w:r>
    </w:p>
    <w:p>
      <w:pPr>
        <w:spacing w:after="156" w:afterLines="50" w:line="560" w:lineRule="exact"/>
        <w:jc w:val="center"/>
        <w:rPr>
          <w:rFonts w:ascii="Times New Roman" w:hAnsi="Times New Roman" w:eastAsia="方正小标宋简体"/>
          <w:b/>
          <w:sz w:val="44"/>
          <w:szCs w:val="44"/>
        </w:rPr>
      </w:pPr>
    </w:p>
    <w:tbl>
      <w:tblPr>
        <w:tblStyle w:val="3"/>
        <w:tblW w:w="5335"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75"/>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noWrap w:val="0"/>
            <w:vAlign w:val="center"/>
          </w:tcPr>
          <w:p>
            <w:pPr>
              <w:spacing w:line="200" w:lineRule="atLeast"/>
              <w:jc w:val="distribute"/>
              <w:rPr>
                <w:rFonts w:ascii="Times New Roman" w:hAnsi="Times New Roman" w:eastAsia="楷体_GB2312"/>
                <w:b/>
                <w:kern w:val="0"/>
                <w:sz w:val="30"/>
                <w:szCs w:val="30"/>
              </w:rPr>
            </w:pPr>
            <w:r>
              <w:rPr>
                <w:rFonts w:ascii="Times New Roman" w:hAnsi="Times New Roman" w:eastAsia="楷体_GB2312"/>
                <w:b/>
                <w:kern w:val="0"/>
                <w:sz w:val="30"/>
                <w:szCs w:val="30"/>
              </w:rPr>
              <w:t>学位授予单位</w:t>
            </w:r>
          </w:p>
        </w:tc>
        <w:tc>
          <w:tcPr>
            <w:tcW w:w="3175" w:type="dxa"/>
            <w:tcBorders>
              <w:bottom w:val="single" w:color="auto" w:sz="4" w:space="0"/>
            </w:tcBorders>
            <w:shd w:val="clear" w:color="auto" w:fill="auto"/>
            <w:noWrap w:val="0"/>
            <w:vAlign w:val="center"/>
          </w:tcPr>
          <w:p>
            <w:pPr>
              <w:rPr>
                <w:rFonts w:hint="eastAsia" w:ascii="Times New Roman" w:hAnsi="Times New Roman" w:eastAsia="楷体_GB2312"/>
                <w:b/>
                <w:kern w:val="0"/>
                <w:sz w:val="30"/>
                <w:szCs w:val="30"/>
                <w:lang w:val="en-US" w:eastAsia="zh-CN"/>
              </w:rPr>
            </w:pPr>
            <w:r>
              <w:rPr>
                <w:rFonts w:ascii="Times New Roman" w:hAnsi="Times New Roman" w:eastAsia="楷体_GB2312"/>
                <w:b/>
                <w:kern w:val="0"/>
                <w:sz w:val="30"/>
                <w:szCs w:val="30"/>
              </w:rPr>
              <w:t>名称：</w:t>
            </w:r>
            <w:r>
              <w:rPr>
                <w:rFonts w:hint="eastAsia" w:ascii="Times New Roman" w:hAnsi="Times New Roman" w:eastAsia="楷体_GB2312"/>
                <w:b/>
                <w:kern w:val="0"/>
                <w:sz w:val="30"/>
                <w:szCs w:val="30"/>
                <w:lang w:val="en-US" w:eastAsia="zh-CN"/>
              </w:rPr>
              <w:t>河南中医药大学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noWrap w:val="0"/>
            <w:vAlign w:val="top"/>
          </w:tcPr>
          <w:p>
            <w:pPr>
              <w:jc w:val="center"/>
              <w:rPr>
                <w:rFonts w:ascii="Times New Roman" w:hAnsi="Times New Roman" w:eastAsia="楷体_GB2312"/>
                <w:b/>
                <w:kern w:val="0"/>
                <w:sz w:val="30"/>
                <w:szCs w:val="30"/>
              </w:rPr>
            </w:pPr>
          </w:p>
        </w:tc>
        <w:tc>
          <w:tcPr>
            <w:tcW w:w="3175" w:type="dxa"/>
            <w:tcBorders>
              <w:top w:val="single" w:color="auto" w:sz="4" w:space="0"/>
            </w:tcBorders>
            <w:shd w:val="clear" w:color="auto" w:fill="auto"/>
            <w:noWrap w:val="0"/>
            <w:vAlign w:val="center"/>
          </w:tcPr>
          <w:p>
            <w:pPr>
              <w:rPr>
                <w:rFonts w:hint="default" w:ascii="Times New Roman" w:hAnsi="Times New Roman" w:eastAsia="楷体_GB2312"/>
                <w:b/>
                <w:kern w:val="0"/>
                <w:sz w:val="30"/>
                <w:szCs w:val="30"/>
                <w:lang w:val="en-US" w:eastAsia="zh-CN"/>
              </w:rPr>
            </w:pPr>
            <w:r>
              <w:rPr>
                <w:rFonts w:ascii="Times New Roman" w:hAnsi="Times New Roman" w:eastAsia="楷体_GB2312"/>
                <w:b/>
                <w:kern w:val="0"/>
                <w:sz w:val="30"/>
                <w:szCs w:val="30"/>
              </w:rPr>
              <w:t>代码：</w:t>
            </w:r>
            <w:r>
              <w:rPr>
                <w:rFonts w:hint="eastAsia" w:ascii="Times New Roman" w:hAnsi="Times New Roman" w:eastAsia="楷体_GB2312"/>
                <w:b/>
                <w:kern w:val="0"/>
                <w:sz w:val="30"/>
                <w:szCs w:val="30"/>
                <w:lang w:val="en-US" w:eastAsia="zh-CN"/>
              </w:rPr>
              <w:t xml:space="preserve">    10471</w:t>
            </w:r>
          </w:p>
        </w:tc>
      </w:tr>
    </w:tbl>
    <w:p>
      <w:pPr>
        <w:spacing w:line="720" w:lineRule="auto"/>
        <w:jc w:val="center"/>
        <w:rPr>
          <w:rFonts w:ascii="Times New Roman" w:hAnsi="Times New Roman" w:eastAsia="楷体_GB2312"/>
          <w:b/>
          <w:sz w:val="30"/>
          <w:szCs w:val="30"/>
        </w:rPr>
      </w:pPr>
    </w:p>
    <w:tbl>
      <w:tblPr>
        <w:tblStyle w:val="3"/>
        <w:tblW w:w="5349"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89"/>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noWrap w:val="0"/>
            <w:vAlign w:val="center"/>
          </w:tcPr>
          <w:p>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授权学科</w:t>
            </w:r>
          </w:p>
          <w:p>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（类别）</w:t>
            </w:r>
          </w:p>
        </w:tc>
        <w:tc>
          <w:tcPr>
            <w:tcW w:w="3189" w:type="dxa"/>
            <w:tcBorders>
              <w:bottom w:val="single" w:color="auto" w:sz="4" w:space="0"/>
            </w:tcBorders>
            <w:shd w:val="clear" w:color="auto" w:fill="auto"/>
            <w:noWrap w:val="0"/>
            <w:vAlign w:val="center"/>
          </w:tcPr>
          <w:p>
            <w:pPr>
              <w:rPr>
                <w:rFonts w:hint="eastAsia" w:ascii="Times New Roman" w:hAnsi="Times New Roman" w:eastAsia="楷体_GB2312"/>
                <w:b/>
                <w:kern w:val="0"/>
                <w:sz w:val="30"/>
                <w:szCs w:val="30"/>
                <w:lang w:val="en-US" w:eastAsia="zh-CN"/>
              </w:rPr>
            </w:pPr>
            <w:r>
              <w:rPr>
                <w:rFonts w:ascii="Times New Roman" w:hAnsi="Times New Roman" w:eastAsia="楷体_GB2312"/>
                <w:b/>
                <w:kern w:val="0"/>
                <w:sz w:val="30"/>
                <w:szCs w:val="30"/>
              </w:rPr>
              <w:t>名称：</w:t>
            </w:r>
            <w:r>
              <w:rPr>
                <w:rFonts w:hint="eastAsia" w:ascii="Times New Roman" w:hAnsi="Times New Roman" w:eastAsia="楷体_GB2312"/>
                <w:b/>
                <w:kern w:val="0"/>
                <w:sz w:val="30"/>
                <w:szCs w:val="30"/>
                <w:lang w:val="en-US" w:eastAsia="zh-CN"/>
              </w:rPr>
              <w:t>中医学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noWrap w:val="0"/>
            <w:vAlign w:val="top"/>
          </w:tcPr>
          <w:p>
            <w:pPr>
              <w:jc w:val="center"/>
              <w:rPr>
                <w:rFonts w:ascii="Times New Roman" w:hAnsi="Times New Roman" w:eastAsia="楷体_GB2312"/>
                <w:b/>
                <w:kern w:val="0"/>
                <w:sz w:val="30"/>
                <w:szCs w:val="30"/>
              </w:rPr>
            </w:pPr>
          </w:p>
        </w:tc>
        <w:tc>
          <w:tcPr>
            <w:tcW w:w="3189" w:type="dxa"/>
            <w:tcBorders>
              <w:top w:val="single" w:color="auto" w:sz="4" w:space="0"/>
            </w:tcBorders>
            <w:shd w:val="clear" w:color="auto" w:fill="auto"/>
            <w:noWrap w:val="0"/>
            <w:vAlign w:val="center"/>
          </w:tcPr>
          <w:p>
            <w:pPr>
              <w:rPr>
                <w:rFonts w:hint="default" w:ascii="Times New Roman" w:hAnsi="Times New Roman" w:eastAsia="楷体_GB2312"/>
                <w:b/>
                <w:kern w:val="0"/>
                <w:sz w:val="30"/>
                <w:szCs w:val="30"/>
                <w:lang w:val="en-US" w:eastAsia="zh-CN"/>
              </w:rPr>
            </w:pPr>
            <w:r>
              <w:rPr>
                <w:rFonts w:ascii="Times New Roman" w:hAnsi="Times New Roman" w:eastAsia="楷体_GB2312"/>
                <w:b/>
                <w:kern w:val="0"/>
                <w:sz w:val="30"/>
                <w:szCs w:val="30"/>
              </w:rPr>
              <w:t>代码：</w:t>
            </w:r>
            <w:r>
              <w:rPr>
                <w:rFonts w:hint="eastAsia" w:ascii="Times New Roman" w:hAnsi="Times New Roman" w:eastAsia="楷体_GB2312"/>
                <w:b/>
                <w:kern w:val="0"/>
                <w:sz w:val="30"/>
                <w:szCs w:val="30"/>
                <w:lang w:val="en-US" w:eastAsia="zh-CN"/>
              </w:rPr>
              <w:t>1005</w:t>
            </w:r>
          </w:p>
        </w:tc>
      </w:tr>
    </w:tbl>
    <w:p>
      <w:pPr>
        <w:spacing w:line="720" w:lineRule="auto"/>
        <w:jc w:val="center"/>
        <w:rPr>
          <w:rFonts w:ascii="Times New Roman" w:hAnsi="Times New Roman" w:eastAsia="楷体_GB2312"/>
          <w:b/>
          <w:sz w:val="30"/>
          <w:szCs w:val="30"/>
        </w:rPr>
      </w:pPr>
    </w:p>
    <w:tbl>
      <w:tblPr>
        <w:tblStyle w:val="3"/>
        <w:tblW w:w="5322"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62"/>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noWrap w:val="0"/>
            <w:vAlign w:val="center"/>
          </w:tcPr>
          <w:p>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授权级别</w:t>
            </w:r>
          </w:p>
        </w:tc>
        <w:tc>
          <w:tcPr>
            <w:tcW w:w="3162" w:type="dxa"/>
            <w:tcBorders>
              <w:bottom w:val="single" w:color="auto" w:sz="4" w:space="0"/>
            </w:tcBorders>
            <w:shd w:val="clear" w:color="auto" w:fill="auto"/>
            <w:noWrap w:val="0"/>
            <w:vAlign w:val="center"/>
          </w:tcPr>
          <w:p>
            <w:pPr>
              <w:rPr>
                <w:rFonts w:ascii="Times New Roman" w:hAnsi="Times New Roman" w:eastAsia="楷体_GB2312"/>
                <w:b/>
                <w:kern w:val="0"/>
                <w:sz w:val="30"/>
                <w:szCs w:val="30"/>
              </w:rPr>
            </w:pPr>
            <w:r>
              <w:rPr>
                <w:rFonts w:hint="eastAsia" w:ascii="Times New Roman" w:hAnsi="Times New Roman" w:eastAsia="楷体_GB2312"/>
                <w:b/>
                <w:kern w:val="0"/>
                <w:sz w:val="30"/>
                <w:szCs w:val="30"/>
                <w:lang w:eastAsia="zh-CN"/>
              </w:rPr>
              <w:t>☑</w:t>
            </w:r>
            <w:r>
              <w:rPr>
                <w:rFonts w:ascii="Times New Roman" w:hAnsi="Times New Roman" w:eastAsia="楷体_GB2312"/>
                <w:b/>
                <w:kern w:val="0"/>
                <w:sz w:val="30"/>
                <w:szCs w:val="30"/>
              </w:rPr>
              <w:t xml:space="preserve">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noWrap w:val="0"/>
            <w:vAlign w:val="top"/>
          </w:tcPr>
          <w:p>
            <w:pPr>
              <w:jc w:val="center"/>
              <w:rPr>
                <w:rFonts w:ascii="Times New Roman" w:hAnsi="Times New Roman" w:eastAsia="楷体_GB2312"/>
                <w:b/>
                <w:kern w:val="0"/>
                <w:sz w:val="30"/>
                <w:szCs w:val="30"/>
              </w:rPr>
            </w:pPr>
          </w:p>
        </w:tc>
        <w:tc>
          <w:tcPr>
            <w:tcW w:w="3162" w:type="dxa"/>
            <w:tcBorders>
              <w:top w:val="single" w:color="auto" w:sz="4" w:space="0"/>
            </w:tcBorders>
            <w:shd w:val="clear" w:color="auto" w:fill="auto"/>
            <w:noWrap w:val="0"/>
            <w:vAlign w:val="center"/>
          </w:tcPr>
          <w:p>
            <w:pPr>
              <w:rPr>
                <w:rFonts w:ascii="Times New Roman" w:hAnsi="Times New Roman" w:eastAsia="楷体_GB2312"/>
                <w:b/>
                <w:kern w:val="0"/>
                <w:sz w:val="30"/>
                <w:szCs w:val="30"/>
              </w:rPr>
            </w:pPr>
            <w:r>
              <w:rPr>
                <w:rFonts w:ascii="Times New Roman" w:hAnsi="Times New Roman" w:eastAsia="楷体_GB2312"/>
                <w:b/>
                <w:kern w:val="0"/>
                <w:sz w:val="30"/>
                <w:szCs w:val="30"/>
              </w:rPr>
              <w:t>□  硕  士</w:t>
            </w:r>
          </w:p>
        </w:tc>
      </w:tr>
    </w:tbl>
    <w:p>
      <w:pPr>
        <w:rPr>
          <w:rFonts w:ascii="Times New Roman" w:hAnsi="Times New Roman" w:eastAsia="楷体_GB2312"/>
          <w:b/>
          <w:sz w:val="30"/>
          <w:szCs w:val="30"/>
        </w:rPr>
      </w:pPr>
    </w:p>
    <w:p>
      <w:pPr>
        <w:jc w:val="center"/>
        <w:rPr>
          <w:rFonts w:ascii="Times New Roman" w:hAnsi="Times New Roman" w:eastAsia="楷体_GB2312"/>
          <w:b/>
          <w:sz w:val="30"/>
          <w:szCs w:val="30"/>
        </w:rPr>
      </w:pPr>
    </w:p>
    <w:p>
      <w:pPr>
        <w:jc w:val="center"/>
        <w:rPr>
          <w:rFonts w:ascii="Times New Roman" w:hAnsi="Times New Roman" w:eastAsia="楷体_GB2312"/>
          <w:b/>
          <w:sz w:val="30"/>
          <w:szCs w:val="30"/>
        </w:rPr>
        <w:sectPr>
          <w:pgSz w:w="11906" w:h="16838"/>
          <w:pgMar w:top="1440" w:right="1800" w:bottom="1440" w:left="1800" w:header="851" w:footer="992" w:gutter="0"/>
          <w:pgNumType w:start="1"/>
          <w:cols w:space="425" w:num="1"/>
          <w:docGrid w:type="lines" w:linePitch="312" w:charSpace="0"/>
        </w:sectPr>
      </w:pPr>
      <w:r>
        <w:rPr>
          <w:rFonts w:ascii="Times New Roman" w:hAnsi="Times New Roman" w:eastAsia="楷体_GB2312"/>
          <w:b/>
          <w:sz w:val="30"/>
          <w:szCs w:val="30"/>
        </w:rPr>
        <w:t>20</w:t>
      </w:r>
      <w:r>
        <w:rPr>
          <w:rFonts w:hint="eastAsia" w:ascii="Times New Roman" w:hAnsi="Times New Roman" w:eastAsia="楷体_GB2312"/>
          <w:b/>
          <w:sz w:val="30"/>
          <w:szCs w:val="30"/>
          <w:lang w:val="en-US" w:eastAsia="zh-CN"/>
        </w:rPr>
        <w:t>24</w:t>
      </w:r>
      <w:r>
        <w:rPr>
          <w:rFonts w:ascii="Times New Roman" w:hAnsi="Times New Roman" w:eastAsia="楷体_GB2312"/>
          <w:b/>
          <w:sz w:val="30"/>
          <w:szCs w:val="30"/>
        </w:rPr>
        <w:t>年</w:t>
      </w:r>
      <w:r>
        <w:rPr>
          <w:rFonts w:hint="eastAsia" w:ascii="Times New Roman" w:hAnsi="Times New Roman" w:eastAsia="楷体_GB2312"/>
          <w:b/>
          <w:sz w:val="30"/>
          <w:szCs w:val="30"/>
          <w:lang w:val="en-US" w:eastAsia="zh-CN"/>
        </w:rPr>
        <w:t>12</w:t>
      </w:r>
      <w:r>
        <w:rPr>
          <w:rFonts w:ascii="Times New Roman" w:hAnsi="Times New Roman" w:eastAsia="楷体_GB2312"/>
          <w:b/>
          <w:sz w:val="30"/>
          <w:szCs w:val="30"/>
        </w:rPr>
        <w:t>月</w:t>
      </w:r>
      <w:r>
        <w:rPr>
          <w:rFonts w:hint="eastAsia" w:ascii="Times New Roman" w:hAnsi="Times New Roman" w:eastAsia="楷体_GB2312"/>
          <w:b/>
          <w:sz w:val="30"/>
          <w:szCs w:val="30"/>
          <w:lang w:val="en-US" w:eastAsia="zh-CN"/>
        </w:rPr>
        <w:t>31</w:t>
      </w:r>
      <w:r>
        <w:rPr>
          <w:rFonts w:ascii="Times New Roman" w:hAnsi="Times New Roman" w:eastAsia="楷体_GB2312"/>
          <w:b/>
          <w:sz w:val="30"/>
          <w:szCs w:val="30"/>
        </w:rPr>
        <w:t>日</w:t>
      </w:r>
    </w:p>
    <w:p>
      <w:pPr>
        <w:jc w:val="center"/>
        <w:rPr>
          <w:rFonts w:ascii="仿宋" w:hAnsi="仿宋" w:eastAsia="仿宋" w:cs="仿宋"/>
          <w:szCs w:val="21"/>
        </w:rPr>
      </w:pPr>
    </w:p>
    <w:p>
      <w:pPr>
        <w:spacing w:after="156" w:afterLines="50" w:line="560" w:lineRule="exact"/>
        <w:jc w:val="left"/>
        <w:rPr>
          <w:rFonts w:ascii="Times New Roman" w:hAnsi="Times New Roman" w:eastAsia="方正小标宋简体"/>
          <w:b/>
          <w:sz w:val="32"/>
          <w:szCs w:val="32"/>
        </w:rPr>
      </w:pPr>
      <w:bookmarkStart w:id="0" w:name="OLE_LINK17"/>
      <w:r>
        <w:rPr>
          <w:rFonts w:hint="eastAsia" w:ascii="Times New Roman" w:hAnsi="Times New Roman" w:eastAsia="方正小标宋简体"/>
          <w:b/>
          <w:sz w:val="32"/>
          <w:szCs w:val="32"/>
        </w:rPr>
        <w:t>一、学位授权点基本情况</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（一）学位授权点简介</w:t>
      </w:r>
    </w:p>
    <w:p>
      <w:pPr>
        <w:spacing w:line="360" w:lineRule="auto"/>
        <w:ind w:firstLine="560" w:firstLineChars="200"/>
        <w:rPr>
          <w:rFonts w:hint="eastAsia" w:ascii="宋体" w:hAnsi="宋体" w:eastAsia="宋体" w:cs="宋体"/>
          <w:color w:val="000000"/>
          <w:kern w:val="0"/>
          <w:sz w:val="28"/>
          <w:szCs w:val="28"/>
          <w:lang w:val="en-US" w:eastAsia="zh-CN" w:bidi="ar"/>
        </w:rPr>
      </w:pPr>
      <w:bookmarkStart w:id="1" w:name="_Toc345572232"/>
      <w:r>
        <w:rPr>
          <w:rFonts w:hint="eastAsia" w:ascii="宋体" w:hAnsi="宋体" w:eastAsia="宋体" w:cs="宋体"/>
          <w:bCs/>
          <w:color w:val="000000"/>
          <w:sz w:val="28"/>
          <w:szCs w:val="28"/>
        </w:rPr>
        <w:t>河南中医药大学中医学本科专业设立于1958年，1979年开始招收中医内科学、中医五官科学、针灸推拿学硕士研究生，1998年开始联合培养博士研究生，</w:t>
      </w:r>
      <w:r>
        <w:rPr>
          <w:rFonts w:hint="eastAsia" w:ascii="宋体" w:hAnsi="宋体" w:eastAsia="宋体" w:cs="宋体"/>
          <w:b w:val="0"/>
          <w:bCs/>
          <w:color w:val="000000"/>
          <w:sz w:val="28"/>
          <w:szCs w:val="28"/>
        </w:rPr>
        <w:t>2013年</w:t>
      </w:r>
      <w:r>
        <w:rPr>
          <w:rFonts w:hint="eastAsia" w:ascii="宋体" w:hAnsi="宋体" w:eastAsia="宋体" w:cs="宋体"/>
          <w:b w:val="0"/>
          <w:bCs/>
          <w:color w:val="000000"/>
          <w:sz w:val="28"/>
          <w:szCs w:val="28"/>
          <w:lang w:val="en-US" w:eastAsia="zh-CN"/>
        </w:rPr>
        <w:t>获</w:t>
      </w:r>
      <w:r>
        <w:rPr>
          <w:rFonts w:hint="eastAsia" w:ascii="宋体" w:hAnsi="宋体" w:eastAsia="宋体" w:cs="宋体"/>
          <w:b w:val="0"/>
          <w:bCs/>
          <w:color w:val="000000"/>
          <w:sz w:val="28"/>
          <w:szCs w:val="28"/>
        </w:rPr>
        <w:t>博士一级学科学位授权</w:t>
      </w: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lang w:val="en-US" w:eastAsia="zh-CN"/>
        </w:rPr>
        <w:t>涵盖14个二级学科。</w:t>
      </w:r>
      <w:r>
        <w:rPr>
          <w:rFonts w:hint="eastAsia" w:ascii="宋体" w:hAnsi="宋体" w:eastAsia="宋体" w:cs="宋体"/>
          <w:bCs/>
          <w:color w:val="000000"/>
          <w:sz w:val="28"/>
          <w:szCs w:val="28"/>
        </w:rPr>
        <w:t>经过</w:t>
      </w:r>
      <w:r>
        <w:rPr>
          <w:rFonts w:hint="eastAsia" w:ascii="宋体" w:hAnsi="宋体" w:eastAsia="宋体" w:cs="宋体"/>
          <w:bCs/>
          <w:color w:val="000000"/>
          <w:sz w:val="28"/>
          <w:szCs w:val="28"/>
          <w:lang w:eastAsia="zh-CN"/>
        </w:rPr>
        <w:t>多</w:t>
      </w:r>
      <w:r>
        <w:rPr>
          <w:rFonts w:hint="eastAsia" w:ascii="宋体" w:hAnsi="宋体" w:eastAsia="宋体" w:cs="宋体"/>
          <w:bCs/>
          <w:color w:val="000000"/>
          <w:sz w:val="28"/>
          <w:szCs w:val="28"/>
        </w:rPr>
        <w:t>年建设，</w:t>
      </w:r>
      <w:bookmarkEnd w:id="1"/>
      <w:r>
        <w:rPr>
          <w:rFonts w:hint="eastAsia" w:ascii="宋体" w:hAnsi="宋体" w:eastAsia="宋体" w:cs="宋体"/>
          <w:color w:val="000000"/>
          <w:kern w:val="0"/>
          <w:sz w:val="28"/>
          <w:szCs w:val="28"/>
          <w:lang w:val="en-US" w:eastAsia="zh-CN" w:bidi="ar"/>
        </w:rPr>
        <w:t>本学位点现拥有国家医学中心（中医类）、国家中医临床教学培训示范中心、国家中医药传承创新中心、国家区域中医（专科）诊疗中心、国家中医药国际合作交流基地、国家中医临床研究基地、国家中医住院医师规范化培训示范基地等多个国家级 平台。</w:t>
      </w:r>
      <w:r>
        <w:rPr>
          <w:rFonts w:hint="eastAsia" w:ascii="宋体" w:hAnsi="宋体" w:eastAsia="宋体" w:cs="宋体"/>
          <w:color w:val="auto"/>
          <w:kern w:val="0"/>
          <w:sz w:val="28"/>
          <w:szCs w:val="28"/>
          <w:lang w:val="en-US" w:eastAsia="zh-CN" w:bidi="ar"/>
        </w:rPr>
        <w:t>还拥有省部共建协同创新中心1个，国家临床重点专科（中医类）12个、国家中医药管理局重点学科14个、国家中医药管理局重点</w:t>
      </w:r>
      <w:r>
        <w:rPr>
          <w:rFonts w:hint="eastAsia" w:ascii="宋体" w:hAnsi="宋体" w:eastAsia="宋体" w:cs="宋体"/>
          <w:color w:val="000000"/>
          <w:kern w:val="0"/>
          <w:sz w:val="28"/>
          <w:szCs w:val="28"/>
          <w:lang w:val="en-US" w:eastAsia="zh-CN" w:bidi="ar"/>
        </w:rPr>
        <w:t>专科28个。</w:t>
      </w:r>
    </w:p>
    <w:p>
      <w:pPr>
        <w:spacing w:line="360" w:lineRule="auto"/>
        <w:ind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学位点在2024年建设期间，共获批纵向科研课题</w:t>
      </w:r>
      <w:r>
        <w:rPr>
          <w:rFonts w:hint="eastAsia" w:ascii="宋体" w:hAnsi="宋体" w:eastAsia="宋体" w:cs="宋体"/>
          <w:color w:val="000000"/>
          <w:kern w:val="0"/>
          <w:sz w:val="28"/>
          <w:szCs w:val="28"/>
          <w:highlight w:val="none"/>
          <w:lang w:val="en-US" w:eastAsia="zh-CN" w:bidi="ar"/>
        </w:rPr>
        <w:t>202</w:t>
      </w:r>
      <w:r>
        <w:rPr>
          <w:rFonts w:hint="eastAsia" w:ascii="宋体" w:hAnsi="宋体" w:eastAsia="宋体" w:cs="宋体"/>
          <w:color w:val="000000"/>
          <w:kern w:val="0"/>
          <w:sz w:val="28"/>
          <w:szCs w:val="28"/>
          <w:lang w:val="en-US" w:eastAsia="zh-CN" w:bidi="ar"/>
        </w:rPr>
        <w:t>项（其中国家级项目32项，包含3项国家重大专项），总经费9367.3万元；横向课题总经费</w:t>
      </w:r>
      <w:r>
        <w:rPr>
          <w:rFonts w:hint="eastAsia" w:ascii="宋体" w:hAnsi="宋体" w:eastAsia="宋体" w:cs="宋体"/>
          <w:color w:val="000000"/>
          <w:kern w:val="0"/>
          <w:sz w:val="28"/>
          <w:szCs w:val="28"/>
          <w:highlight w:val="none"/>
          <w:lang w:val="en-US" w:eastAsia="zh-CN" w:bidi="ar"/>
        </w:rPr>
        <w:t>406.24</w:t>
      </w:r>
      <w:r>
        <w:rPr>
          <w:rFonts w:hint="eastAsia" w:ascii="宋体" w:hAnsi="宋体" w:eastAsia="宋体" w:cs="宋体"/>
          <w:color w:val="000000"/>
          <w:kern w:val="0"/>
          <w:sz w:val="28"/>
          <w:szCs w:val="28"/>
          <w:lang w:val="en-US" w:eastAsia="zh-CN" w:bidi="ar"/>
        </w:rPr>
        <w:t>万元；获各类科研奖励69项；以第一作者或通讯作者发表中文核心、SCI论文543篇；主编、副主编著作168部；制定行业标准、指南、专家共识</w:t>
      </w:r>
      <w:r>
        <w:rPr>
          <w:rFonts w:hint="eastAsia" w:ascii="宋体" w:hAnsi="宋体" w:eastAsia="宋体" w:cs="宋体"/>
          <w:color w:val="000000"/>
          <w:kern w:val="0"/>
          <w:sz w:val="28"/>
          <w:szCs w:val="28"/>
          <w:highlight w:val="none"/>
          <w:lang w:val="en-US" w:eastAsia="zh-CN" w:bidi="ar"/>
        </w:rPr>
        <w:t>28项</w:t>
      </w:r>
      <w:r>
        <w:rPr>
          <w:rFonts w:hint="eastAsia" w:ascii="宋体" w:hAnsi="宋体" w:eastAsia="宋体" w:cs="宋体"/>
          <w:color w:val="000000"/>
          <w:kern w:val="0"/>
          <w:sz w:val="28"/>
          <w:szCs w:val="28"/>
          <w:lang w:val="en-US" w:eastAsia="zh-CN" w:bidi="ar"/>
        </w:rPr>
        <w:t>；各类型专利、软件著作权41项。</w:t>
      </w:r>
    </w:p>
    <w:p>
      <w:pPr>
        <w:spacing w:line="360" w:lineRule="auto"/>
        <w:ind w:firstLine="560" w:firstLineChars="200"/>
        <w:rPr>
          <w:rFonts w:hint="eastAsia" w:ascii="宋体" w:hAnsi="宋体" w:eastAsia="宋体" w:cs="仿宋"/>
          <w:sz w:val="28"/>
          <w:szCs w:val="28"/>
        </w:rPr>
      </w:pPr>
      <w:r>
        <w:rPr>
          <w:rFonts w:hint="eastAsia" w:ascii="宋体" w:hAnsi="宋体" w:eastAsia="宋体" w:cs="宋体"/>
          <w:color w:val="000000"/>
          <w:kern w:val="0"/>
          <w:sz w:val="28"/>
          <w:szCs w:val="28"/>
          <w:lang w:val="en-US" w:eastAsia="zh-CN" w:bidi="ar"/>
        </w:rPr>
        <w:t>在学校大力实施“人才兴校”战略方针指导下，中医学</w:t>
      </w:r>
      <w:r>
        <w:rPr>
          <w:rFonts w:hint="eastAsia" w:ascii="宋体" w:hAnsi="宋体" w:eastAsia="宋体" w:cs="宋体"/>
          <w:bCs/>
          <w:color w:val="000000"/>
          <w:sz w:val="28"/>
          <w:szCs w:val="28"/>
        </w:rPr>
        <w:t>学位点打造了一支</w:t>
      </w:r>
      <w:r>
        <w:rPr>
          <w:rFonts w:hint="eastAsia" w:ascii="宋体" w:hAnsi="宋体" w:eastAsia="宋体" w:cs="宋体"/>
          <w:color w:val="000000"/>
          <w:kern w:val="2"/>
          <w:sz w:val="28"/>
          <w:szCs w:val="28"/>
          <w:lang w:val="en-US" w:eastAsia="zh-CN" w:bidi="ar-SA"/>
        </w:rPr>
        <w:t>由</w:t>
      </w:r>
      <w:r>
        <w:rPr>
          <w:rFonts w:hint="eastAsia" w:ascii="宋体" w:hAnsi="宋体" w:eastAsia="宋体" w:cs="宋体"/>
          <w:color w:val="auto"/>
          <w:kern w:val="2"/>
          <w:sz w:val="28"/>
          <w:szCs w:val="28"/>
          <w:lang w:val="en-US" w:eastAsia="zh-CN" w:bidi="ar-SA"/>
        </w:rPr>
        <w:t>博士生导师</w:t>
      </w:r>
      <w:r>
        <w:rPr>
          <w:rFonts w:hint="eastAsia" w:ascii="宋体" w:hAnsi="宋体" w:eastAsia="宋体" w:cs="宋体"/>
          <w:color w:val="000000"/>
          <w:kern w:val="2"/>
          <w:sz w:val="28"/>
          <w:szCs w:val="28"/>
          <w:lang w:val="en-US" w:eastAsia="zh-CN" w:bidi="ar-SA"/>
        </w:rPr>
        <w:t>86人、硕士生导师316人组成的强大导师团队，</w:t>
      </w:r>
      <w:r>
        <w:rPr>
          <w:rFonts w:hint="eastAsia" w:ascii="宋体" w:hAnsi="宋体" w:eastAsia="宋体" w:cs="宋体"/>
          <w:color w:val="auto"/>
          <w:kern w:val="2"/>
          <w:sz w:val="28"/>
          <w:szCs w:val="28"/>
          <w:lang w:val="en-US" w:eastAsia="zh-CN" w:bidi="ar-SA"/>
        </w:rPr>
        <w:t>其中学位点建设期间新增</w:t>
      </w:r>
      <w:r>
        <w:rPr>
          <w:rFonts w:hint="eastAsia" w:ascii="宋体" w:hAnsi="宋体" w:eastAsia="宋体" w:cs="宋体"/>
          <w:color w:val="000000"/>
          <w:kern w:val="2"/>
          <w:sz w:val="28"/>
          <w:szCs w:val="28"/>
          <w:lang w:val="en-US" w:eastAsia="zh-CN" w:bidi="ar-SA"/>
        </w:rPr>
        <w:t>博士生导师50人、硕士生导师163人。</w:t>
      </w:r>
      <w:r>
        <w:rPr>
          <w:rFonts w:hint="eastAsia" w:ascii="宋体" w:hAnsi="宋体" w:eastAsia="宋体" w:cs="宋体"/>
          <w:b w:val="0"/>
          <w:bCs w:val="0"/>
          <w:color w:val="000000"/>
          <w:sz w:val="28"/>
          <w:szCs w:val="28"/>
          <w:lang w:val="en-US" w:eastAsia="zh-CN"/>
        </w:rPr>
        <w:t>拥有国医大师2人，全国名中医5人、长江学者1人、国家教学名师 2 人、全国优秀教师1人、岐黄学者 6人，青年岐黄学者2人、国家“万人计划”青年拔尖人才1人。</w:t>
      </w:r>
      <w:r>
        <w:rPr>
          <w:rFonts w:hint="eastAsia" w:ascii="宋体" w:hAnsi="宋体" w:eastAsia="宋体" w:cs="宋体"/>
          <w:bCs/>
          <w:color w:val="000000"/>
          <w:sz w:val="28"/>
          <w:szCs w:val="28"/>
        </w:rPr>
        <w:t>拥有张磊、丁樱、李建生、</w:t>
      </w:r>
      <w:r>
        <w:rPr>
          <w:rFonts w:hint="eastAsia" w:ascii="宋体" w:hAnsi="宋体" w:eastAsia="宋体" w:cs="宋体"/>
          <w:bCs/>
          <w:color w:val="000000"/>
          <w:sz w:val="28"/>
          <w:szCs w:val="28"/>
          <w:lang w:eastAsia="zh-CN"/>
        </w:rPr>
        <w:t>赵文霞</w:t>
      </w:r>
      <w:r>
        <w:rPr>
          <w:rFonts w:hint="eastAsia" w:ascii="宋体" w:hAnsi="宋体" w:eastAsia="宋体" w:cs="宋体"/>
          <w:bCs/>
          <w:color w:val="000000"/>
          <w:sz w:val="28"/>
          <w:szCs w:val="28"/>
        </w:rPr>
        <w:t>等</w:t>
      </w:r>
      <w:r>
        <w:rPr>
          <w:rFonts w:hint="eastAsia" w:ascii="宋体" w:hAnsi="宋体" w:eastAsia="宋体" w:cs="宋体"/>
          <w:bCs/>
          <w:color w:val="000000"/>
          <w:sz w:val="28"/>
          <w:szCs w:val="28"/>
          <w:highlight w:val="none"/>
          <w:lang w:val="en-US" w:eastAsia="zh-CN"/>
        </w:rPr>
        <w:t>一批具有全国影响力的</w:t>
      </w:r>
      <w:r>
        <w:rPr>
          <w:rFonts w:hint="eastAsia" w:ascii="宋体" w:hAnsi="宋体" w:eastAsia="宋体" w:cs="宋体"/>
          <w:bCs/>
          <w:color w:val="000000"/>
          <w:sz w:val="28"/>
          <w:szCs w:val="28"/>
        </w:rPr>
        <w:t>学术带头人，</w:t>
      </w:r>
      <w:r>
        <w:rPr>
          <w:rFonts w:hint="eastAsia" w:ascii="宋体" w:hAnsi="宋体" w:eastAsia="宋体" w:cs="宋体"/>
          <w:bCs/>
          <w:color w:val="000000"/>
          <w:sz w:val="28"/>
          <w:szCs w:val="28"/>
          <w:lang w:val="en-US" w:eastAsia="zh-CN"/>
        </w:rPr>
        <w:t>2024年中医儿科、中医肺病全国排名第一，形成一批</w:t>
      </w:r>
      <w:r>
        <w:rPr>
          <w:rFonts w:hint="eastAsia" w:ascii="宋体" w:hAnsi="宋体" w:eastAsia="宋体" w:cs="宋体"/>
          <w:bCs/>
          <w:color w:val="000000"/>
          <w:sz w:val="28"/>
          <w:szCs w:val="28"/>
        </w:rPr>
        <w:t>优势突出</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专业特色显著</w:t>
      </w:r>
      <w:r>
        <w:rPr>
          <w:rFonts w:hint="eastAsia" w:ascii="宋体" w:hAnsi="宋体" w:eastAsia="宋体" w:cs="宋体"/>
          <w:bCs/>
          <w:color w:val="000000"/>
          <w:sz w:val="28"/>
          <w:szCs w:val="28"/>
          <w:lang w:val="en-US" w:eastAsia="zh-CN"/>
        </w:rPr>
        <w:t>的学科群</w:t>
      </w:r>
      <w:r>
        <w:rPr>
          <w:rFonts w:hint="eastAsia" w:ascii="宋体" w:hAnsi="宋体" w:eastAsia="宋体" w:cs="宋体"/>
          <w:bCs/>
          <w:color w:val="000000"/>
          <w:sz w:val="28"/>
          <w:szCs w:val="28"/>
        </w:rPr>
        <w:t>，教学、科研和医疗实力雄厚，整体学术水平、科研能力在国内同行处于先进行列</w:t>
      </w:r>
      <w:r>
        <w:rPr>
          <w:rFonts w:hint="eastAsia" w:ascii="宋体" w:hAnsi="宋体" w:eastAsia="宋体" w:cs="仿宋"/>
          <w:sz w:val="28"/>
          <w:szCs w:val="28"/>
        </w:rPr>
        <w:t>。</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（二）培养目标和学位标准</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 xml:space="preserve">培养定位：立足中原、引领全国，发挥仲景中医药文化的独特优势，主动对接促进中部地区崛起和高质量发展的国家区域重大战略、服务健康中国，坚持德、智、体全面发展，培养中医高素质创新型人才。 </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培养目标</w:t>
      </w:r>
      <w:r>
        <w:rPr>
          <w:rFonts w:hint="eastAsia" w:ascii="宋体" w:hAnsi="宋体" w:eastAsia="宋体" w:cs="仿宋"/>
          <w:sz w:val="28"/>
          <w:szCs w:val="28"/>
          <w:lang w:eastAsia="zh-CN"/>
        </w:rPr>
        <w:t>：</w:t>
      </w:r>
      <w:r>
        <w:rPr>
          <w:rFonts w:hint="eastAsia" w:ascii="宋体" w:hAnsi="宋体" w:eastAsia="宋体" w:cs="仿宋"/>
          <w:sz w:val="28"/>
          <w:szCs w:val="28"/>
        </w:rPr>
        <w:t>（1）良好的职业人文素养：遵纪守法，诚实守信，身心健康，恪守学术道德，热爱中医药事业，具有全心全意为人民服务的医德医风，富有团结协作和求实创新精神，积极为社会主义现代化建设和发展中医药事业服务。</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2）卓越的学术研究能力：熟练掌握一门以上外语，能用外语阅读专业文献、写作论文、进行国内外学术交流。传承精华，守正创新，能应用中医学学科及相关学科的知识和技术方法，独立地、深入地开展具有创新性的相关科学与技术研究，做出创造性的成果。</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（3）出色的临床工作能力：掌握本学科坚实宽广的基础理论和系统深入的专门知识。在继承和发扬中医经典理论的基础上，具备独立处理本学科常见病和某些疑难病症的能力。</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学位标准：</w:t>
      </w:r>
    </w:p>
    <w:p>
      <w:pPr>
        <w:keepNext w:val="0"/>
        <w:keepLines w:val="0"/>
        <w:widowControl/>
        <w:suppressLineNumbers w:val="0"/>
        <w:ind w:firstLine="560" w:firstLineChars="200"/>
        <w:jc w:val="left"/>
        <w:rPr>
          <w:rFonts w:hint="eastAsia" w:ascii="宋体" w:hAnsi="宋体" w:eastAsia="宋体" w:cs="宋体"/>
          <w:b w:val="0"/>
          <w:bCs/>
          <w:color w:val="000000"/>
          <w:sz w:val="28"/>
          <w:szCs w:val="28"/>
          <w:lang w:val="en-US" w:eastAsia="zh-CN"/>
        </w:rPr>
      </w:pPr>
      <w:r>
        <w:rPr>
          <w:rFonts w:hint="eastAsia" w:ascii="宋体" w:hAnsi="宋体" w:eastAsia="宋体" w:cs="宋体"/>
          <w:b w:val="0"/>
          <w:bCs/>
          <w:color w:val="000000"/>
          <w:sz w:val="28"/>
          <w:szCs w:val="28"/>
          <w:lang w:val="en-US" w:eastAsia="zh-CN"/>
        </w:rPr>
        <w:t>学位点严格按照我校制定的《河南中医药大学学位授予工作实施细则》、《河南中医药大学关于申请博士、硕士学位人员发表学术论文的规定》等文件要求，达到下述学术水平者，可授予博士学位：</w:t>
      </w:r>
    </w:p>
    <w:p>
      <w:pPr>
        <w:keepNext w:val="0"/>
        <w:keepLines w:val="0"/>
        <w:widowControl/>
        <w:suppressLineNumbers w:val="0"/>
        <w:ind w:firstLine="560" w:firstLineChars="200"/>
        <w:jc w:val="left"/>
        <w:rPr>
          <w:rFonts w:hint="default" w:ascii="宋体" w:hAnsi="宋体" w:eastAsia="宋体" w:cs="宋体"/>
          <w:b w:val="0"/>
          <w:bCs/>
          <w:color w:val="FF0000"/>
          <w:sz w:val="28"/>
          <w:szCs w:val="28"/>
          <w:lang w:val="en-US" w:eastAsia="zh-CN"/>
        </w:rPr>
      </w:pPr>
      <w:r>
        <w:rPr>
          <w:rFonts w:hint="eastAsia" w:ascii="宋体" w:hAnsi="宋体" w:eastAsia="宋体" w:cs="宋体"/>
          <w:b w:val="0"/>
          <w:bCs/>
          <w:color w:val="000000"/>
          <w:sz w:val="28"/>
          <w:szCs w:val="28"/>
          <w:lang w:val="en-US" w:eastAsia="zh-CN"/>
        </w:rPr>
        <w:t>（1）在本门学科上掌握坚实宽广的基础理论和系统深入的专门知识；（2）具有独立从事科学研究工作的能力；（3）在科学或专门技术上做出创造性的成果；（4）完成培养计划所规定的全部学习任务，课程考试成绩合格，并修满规定学分；（5）学位论文撰写符合我校要求、规范严谨，通过科研原始资料审核、学位论文检测、匿名评审及学位论文答辩等要求程序；（6）发表符合我校要求的学术论文：</w:t>
      </w:r>
      <w:r>
        <w:rPr>
          <w:rFonts w:hint="eastAsia" w:ascii="宋体" w:hAnsi="宋体" w:eastAsia="宋体" w:cs="宋体"/>
          <w:b w:val="0"/>
          <w:bCs/>
          <w:color w:val="000000"/>
          <w:sz w:val="28"/>
          <w:szCs w:val="28"/>
          <w:lang w:val="en-US" w:eastAsia="zh-CN"/>
        </w:rPr>
        <w:fldChar w:fldCharType="begin"/>
      </w:r>
      <w:r>
        <w:rPr>
          <w:rFonts w:hint="eastAsia" w:ascii="宋体" w:hAnsi="宋体" w:eastAsia="宋体" w:cs="宋体"/>
          <w:b w:val="0"/>
          <w:bCs/>
          <w:color w:val="000000"/>
          <w:sz w:val="28"/>
          <w:szCs w:val="28"/>
          <w:lang w:val="en-US" w:eastAsia="zh-CN"/>
        </w:rPr>
        <w:instrText xml:space="preserve"> = 1 \* GB3 \* MERGEFORMAT </w:instrText>
      </w:r>
      <w:r>
        <w:rPr>
          <w:rFonts w:hint="eastAsia" w:ascii="宋体" w:hAnsi="宋体" w:eastAsia="宋体" w:cs="宋体"/>
          <w:b w:val="0"/>
          <w:bCs/>
          <w:color w:val="000000"/>
          <w:sz w:val="28"/>
          <w:szCs w:val="28"/>
          <w:lang w:val="en-US" w:eastAsia="zh-CN"/>
        </w:rPr>
        <w:fldChar w:fldCharType="separate"/>
      </w:r>
      <w:r>
        <w:rPr>
          <w:rFonts w:hint="eastAsia" w:ascii="宋体" w:hAnsi="宋体" w:eastAsia="宋体" w:cs="宋体"/>
          <w:b w:val="0"/>
          <w:bCs/>
          <w:color w:val="000000"/>
          <w:sz w:val="28"/>
          <w:szCs w:val="28"/>
          <w:lang w:val="en-US" w:eastAsia="zh-CN"/>
        </w:rPr>
        <w:t>①</w:t>
      </w:r>
      <w:r>
        <w:rPr>
          <w:rFonts w:hint="eastAsia" w:ascii="宋体" w:hAnsi="宋体" w:eastAsia="宋体" w:cs="宋体"/>
          <w:b w:val="0"/>
          <w:bCs/>
          <w:color w:val="000000"/>
          <w:sz w:val="28"/>
          <w:szCs w:val="28"/>
          <w:lang w:val="en-US" w:eastAsia="zh-CN"/>
        </w:rPr>
        <w:fldChar w:fldCharType="end"/>
      </w:r>
      <w:r>
        <w:rPr>
          <w:rFonts w:hint="eastAsia" w:ascii="宋体" w:hAnsi="宋体" w:eastAsia="宋体" w:cs="宋体"/>
          <w:b w:val="0"/>
          <w:bCs/>
          <w:color w:val="000000"/>
          <w:sz w:val="28"/>
          <w:szCs w:val="28"/>
          <w:lang w:val="en-US" w:eastAsia="zh-CN"/>
        </w:rPr>
        <w:t>在影响因子3.0以上的SCI源期刊或二区及以上SCI 源期刊发表学术论文 1 篇；</w:t>
      </w:r>
      <w:r>
        <w:rPr>
          <w:rFonts w:hint="default" w:ascii="宋体" w:hAnsi="宋体" w:eastAsia="宋体" w:cs="宋体"/>
          <w:b w:val="0"/>
          <w:bCs/>
          <w:color w:val="000000"/>
          <w:sz w:val="28"/>
          <w:szCs w:val="28"/>
          <w:lang w:val="en-US" w:eastAsia="zh-CN"/>
        </w:rPr>
        <w:t>②</w:t>
      </w:r>
      <w:r>
        <w:rPr>
          <w:rFonts w:hint="eastAsia" w:ascii="宋体" w:hAnsi="宋体" w:eastAsia="宋体" w:cs="宋体"/>
          <w:b w:val="0"/>
          <w:bCs/>
          <w:color w:val="000000"/>
          <w:sz w:val="28"/>
          <w:szCs w:val="28"/>
          <w:lang w:val="en-US" w:eastAsia="zh-CN"/>
        </w:rPr>
        <w:t>在SCI源期刊发表学术论文2篇;</w:t>
      </w:r>
      <w:r>
        <w:rPr>
          <w:rFonts w:hint="default" w:ascii="宋体" w:hAnsi="宋体" w:eastAsia="宋体" w:cs="宋体"/>
          <w:b w:val="0"/>
          <w:bCs/>
          <w:color w:val="000000"/>
          <w:sz w:val="28"/>
          <w:szCs w:val="28"/>
          <w:lang w:val="en-US" w:eastAsia="zh-CN"/>
        </w:rPr>
        <w:t>③</w:t>
      </w:r>
      <w:r>
        <w:rPr>
          <w:rFonts w:hint="eastAsia" w:ascii="宋体" w:hAnsi="宋体" w:eastAsia="宋体" w:cs="宋体"/>
          <w:b w:val="0"/>
          <w:bCs/>
          <w:color w:val="000000"/>
          <w:sz w:val="28"/>
          <w:szCs w:val="28"/>
          <w:lang w:val="en-US" w:eastAsia="zh-CN"/>
        </w:rPr>
        <w:t>在SCI源期刊发表学术论文1篇,并且在T1、T2级期刊发表学术论文1篇；</w:t>
      </w:r>
      <w:r>
        <w:rPr>
          <w:rFonts w:hint="eastAsia" w:ascii="宋体" w:hAnsi="宋体" w:eastAsia="宋体" w:cs="宋体"/>
          <w:b w:val="0"/>
          <w:bCs/>
          <w:color w:val="000000"/>
          <w:sz w:val="28"/>
          <w:szCs w:val="28"/>
          <w:lang w:val="en-US" w:eastAsia="zh-CN"/>
        </w:rPr>
        <w:fldChar w:fldCharType="begin"/>
      </w:r>
      <w:r>
        <w:rPr>
          <w:rFonts w:hint="eastAsia" w:ascii="宋体" w:hAnsi="宋体" w:eastAsia="宋体" w:cs="宋体"/>
          <w:b w:val="0"/>
          <w:bCs/>
          <w:color w:val="000000"/>
          <w:sz w:val="28"/>
          <w:szCs w:val="28"/>
          <w:lang w:val="en-US" w:eastAsia="zh-CN"/>
        </w:rPr>
        <w:instrText xml:space="preserve"> = 4 \* GB3 \* MERGEFORMAT </w:instrText>
      </w:r>
      <w:r>
        <w:rPr>
          <w:rFonts w:hint="eastAsia" w:ascii="宋体" w:hAnsi="宋体" w:eastAsia="宋体" w:cs="宋体"/>
          <w:b w:val="0"/>
          <w:bCs/>
          <w:color w:val="000000"/>
          <w:sz w:val="28"/>
          <w:szCs w:val="28"/>
          <w:lang w:val="en-US" w:eastAsia="zh-CN"/>
        </w:rPr>
        <w:fldChar w:fldCharType="separate"/>
      </w:r>
      <w:r>
        <w:rPr>
          <w:rFonts w:hint="eastAsia" w:ascii="宋体" w:hAnsi="宋体" w:eastAsia="宋体" w:cs="宋体"/>
          <w:b w:val="0"/>
          <w:bCs/>
          <w:color w:val="000000"/>
          <w:sz w:val="28"/>
          <w:szCs w:val="28"/>
          <w:lang w:val="en-US" w:eastAsia="zh-CN"/>
        </w:rPr>
        <w:t>④</w:t>
      </w:r>
      <w:r>
        <w:rPr>
          <w:rFonts w:hint="eastAsia" w:ascii="宋体" w:hAnsi="宋体" w:eastAsia="宋体" w:cs="宋体"/>
          <w:b w:val="0"/>
          <w:bCs/>
          <w:color w:val="000000"/>
          <w:sz w:val="28"/>
          <w:szCs w:val="28"/>
          <w:lang w:val="en-US" w:eastAsia="zh-CN"/>
        </w:rPr>
        <w:fldChar w:fldCharType="end"/>
      </w:r>
      <w:r>
        <w:rPr>
          <w:rFonts w:hint="eastAsia" w:ascii="宋体" w:hAnsi="宋体" w:eastAsia="宋体" w:cs="宋体"/>
          <w:b w:val="0"/>
          <w:bCs/>
          <w:color w:val="000000"/>
          <w:sz w:val="28"/>
          <w:szCs w:val="28"/>
          <w:lang w:val="en-US" w:eastAsia="zh-CN"/>
        </w:rPr>
        <w:t>在中文核心期刊发表学术论文2篇；</w:t>
      </w:r>
      <w:r>
        <w:rPr>
          <w:rFonts w:hint="eastAsia" w:ascii="宋体" w:hAnsi="宋体" w:eastAsia="宋体" w:cs="宋体"/>
          <w:b w:val="0"/>
          <w:bCs/>
          <w:color w:val="000000"/>
          <w:sz w:val="28"/>
          <w:szCs w:val="28"/>
          <w:lang w:val="en-US" w:eastAsia="zh-CN"/>
        </w:rPr>
        <w:fldChar w:fldCharType="begin"/>
      </w:r>
      <w:r>
        <w:rPr>
          <w:rFonts w:hint="eastAsia" w:ascii="宋体" w:hAnsi="宋体" w:eastAsia="宋体" w:cs="宋体"/>
          <w:b w:val="0"/>
          <w:bCs/>
          <w:color w:val="000000"/>
          <w:sz w:val="28"/>
          <w:szCs w:val="28"/>
          <w:lang w:val="en-US" w:eastAsia="zh-CN"/>
        </w:rPr>
        <w:instrText xml:space="preserve"> = 5 \* GB3 \* MERGEFORMAT </w:instrText>
      </w:r>
      <w:r>
        <w:rPr>
          <w:rFonts w:hint="eastAsia" w:ascii="宋体" w:hAnsi="宋体" w:eastAsia="宋体" w:cs="宋体"/>
          <w:b w:val="0"/>
          <w:bCs/>
          <w:color w:val="000000"/>
          <w:sz w:val="28"/>
          <w:szCs w:val="28"/>
          <w:lang w:val="en-US" w:eastAsia="zh-CN"/>
        </w:rPr>
        <w:fldChar w:fldCharType="separate"/>
      </w:r>
      <w:r>
        <w:rPr>
          <w:rFonts w:hint="eastAsia" w:ascii="宋体" w:hAnsi="宋体" w:eastAsia="宋体" w:cs="宋体"/>
          <w:b w:val="0"/>
          <w:bCs/>
          <w:color w:val="000000"/>
          <w:sz w:val="28"/>
          <w:szCs w:val="28"/>
          <w:lang w:val="en-US" w:eastAsia="zh-CN"/>
        </w:rPr>
        <w:t>⑤</w:t>
      </w:r>
      <w:r>
        <w:rPr>
          <w:rFonts w:hint="eastAsia" w:ascii="宋体" w:hAnsi="宋体" w:eastAsia="宋体" w:cs="宋体"/>
          <w:b w:val="0"/>
          <w:bCs/>
          <w:color w:val="000000"/>
          <w:sz w:val="28"/>
          <w:szCs w:val="28"/>
          <w:lang w:val="en-US" w:eastAsia="zh-CN"/>
        </w:rPr>
        <w:fldChar w:fldCharType="end"/>
      </w:r>
      <w:r>
        <w:rPr>
          <w:rFonts w:hint="eastAsia" w:ascii="宋体" w:hAnsi="宋体" w:eastAsia="宋体" w:cs="宋体"/>
          <w:b w:val="0"/>
          <w:bCs/>
          <w:color w:val="000000"/>
          <w:sz w:val="28"/>
          <w:szCs w:val="28"/>
          <w:lang w:val="en-US" w:eastAsia="zh-CN"/>
        </w:rPr>
        <w:t>作为第一负责人立项国家级以上科研项目；</w:t>
      </w:r>
      <w:r>
        <w:rPr>
          <w:rFonts w:hint="eastAsia" w:ascii="宋体" w:hAnsi="宋体" w:eastAsia="宋体" w:cs="宋体"/>
          <w:b w:val="0"/>
          <w:bCs/>
          <w:color w:val="000000"/>
          <w:sz w:val="28"/>
          <w:szCs w:val="28"/>
          <w:lang w:val="en-US" w:eastAsia="zh-CN"/>
        </w:rPr>
        <w:fldChar w:fldCharType="begin"/>
      </w:r>
      <w:r>
        <w:rPr>
          <w:rFonts w:hint="eastAsia" w:ascii="宋体" w:hAnsi="宋体" w:eastAsia="宋体" w:cs="宋体"/>
          <w:b w:val="0"/>
          <w:bCs/>
          <w:color w:val="000000"/>
          <w:sz w:val="28"/>
          <w:szCs w:val="28"/>
          <w:lang w:val="en-US" w:eastAsia="zh-CN"/>
        </w:rPr>
        <w:instrText xml:space="preserve"> = 6 \* GB3 \* MERGEFORMAT </w:instrText>
      </w:r>
      <w:r>
        <w:rPr>
          <w:rFonts w:hint="eastAsia" w:ascii="宋体" w:hAnsi="宋体" w:eastAsia="宋体" w:cs="宋体"/>
          <w:b w:val="0"/>
          <w:bCs/>
          <w:color w:val="000000"/>
          <w:sz w:val="28"/>
          <w:szCs w:val="28"/>
          <w:lang w:val="en-US" w:eastAsia="zh-CN"/>
        </w:rPr>
        <w:fldChar w:fldCharType="separate"/>
      </w:r>
      <w:r>
        <w:rPr>
          <w:rFonts w:hint="eastAsia" w:ascii="宋体" w:hAnsi="宋体" w:eastAsia="宋体" w:cs="宋体"/>
          <w:b w:val="0"/>
          <w:bCs/>
          <w:color w:val="000000"/>
          <w:sz w:val="28"/>
          <w:szCs w:val="28"/>
          <w:lang w:val="en-US" w:eastAsia="zh-CN"/>
        </w:rPr>
        <w:t>⑥</w:t>
      </w:r>
      <w:r>
        <w:rPr>
          <w:rFonts w:hint="eastAsia" w:ascii="宋体" w:hAnsi="宋体" w:eastAsia="宋体" w:cs="宋体"/>
          <w:b w:val="0"/>
          <w:bCs/>
          <w:color w:val="000000"/>
          <w:sz w:val="28"/>
          <w:szCs w:val="28"/>
          <w:lang w:val="en-US" w:eastAsia="zh-CN"/>
        </w:rPr>
        <w:fldChar w:fldCharType="end"/>
      </w:r>
      <w:r>
        <w:rPr>
          <w:rFonts w:hint="eastAsia" w:ascii="宋体" w:hAnsi="宋体" w:eastAsia="宋体" w:cs="宋体"/>
          <w:b w:val="0"/>
          <w:bCs/>
          <w:color w:val="000000"/>
          <w:sz w:val="28"/>
          <w:szCs w:val="28"/>
          <w:lang w:val="en-US" w:eastAsia="zh-CN"/>
        </w:rPr>
        <w:t>以第一名获得“岐黄杯”全国中医药博士生优秀论文一等奖或发明专利。</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（三）研究方向</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本学科有</w:t>
      </w:r>
      <w:r>
        <w:rPr>
          <w:rFonts w:hint="eastAsia" w:ascii="宋体" w:hAnsi="宋体" w:eastAsia="宋体" w:cs="仿宋"/>
          <w:sz w:val="28"/>
          <w:szCs w:val="28"/>
          <w:highlight w:val="none"/>
          <w:lang w:val="en-US" w:eastAsia="zh-CN"/>
        </w:rPr>
        <w:t>9</w:t>
      </w:r>
      <w:r>
        <w:rPr>
          <w:rFonts w:hint="eastAsia" w:ascii="宋体" w:hAnsi="宋体" w:eastAsia="宋体" w:cs="仿宋"/>
          <w:sz w:val="28"/>
          <w:szCs w:val="28"/>
          <w:highlight w:val="none"/>
        </w:rPr>
        <w:t>个主要研究方向：</w:t>
      </w:r>
      <w:r>
        <w:rPr>
          <w:rFonts w:hint="eastAsia" w:ascii="宋体" w:hAnsi="宋体" w:eastAsia="宋体" w:cs="仿宋"/>
          <w:sz w:val="28"/>
          <w:szCs w:val="28"/>
          <w:highlight w:val="none"/>
          <w:lang w:val="en-US" w:eastAsia="zh-CN"/>
        </w:rPr>
        <w:t>中医儿科学</w:t>
      </w:r>
      <w:r>
        <w:rPr>
          <w:rFonts w:hint="eastAsia" w:ascii="宋体" w:hAnsi="宋体" w:eastAsia="宋体" w:cs="仿宋"/>
          <w:sz w:val="28"/>
          <w:szCs w:val="28"/>
          <w:highlight w:val="none"/>
        </w:rPr>
        <w:t>、中医</w:t>
      </w:r>
      <w:r>
        <w:rPr>
          <w:rFonts w:hint="eastAsia" w:ascii="宋体" w:hAnsi="宋体" w:eastAsia="宋体" w:cs="仿宋"/>
          <w:sz w:val="28"/>
          <w:szCs w:val="28"/>
          <w:highlight w:val="none"/>
          <w:lang w:val="en-US" w:eastAsia="zh-CN"/>
        </w:rPr>
        <w:t>内科学（肺病方向）、</w:t>
      </w:r>
      <w:r>
        <w:rPr>
          <w:rFonts w:hint="eastAsia" w:ascii="宋体" w:hAnsi="宋体" w:eastAsia="宋体" w:cs="仿宋"/>
          <w:sz w:val="28"/>
          <w:szCs w:val="28"/>
          <w:highlight w:val="none"/>
        </w:rPr>
        <w:t>中医</w:t>
      </w:r>
      <w:r>
        <w:rPr>
          <w:rFonts w:hint="eastAsia" w:ascii="宋体" w:hAnsi="宋体" w:eastAsia="宋体" w:cs="仿宋"/>
          <w:sz w:val="28"/>
          <w:szCs w:val="28"/>
          <w:highlight w:val="none"/>
          <w:lang w:val="en-US" w:eastAsia="zh-CN"/>
        </w:rPr>
        <w:t>内科学（感染病方向）、</w:t>
      </w:r>
      <w:r>
        <w:rPr>
          <w:rFonts w:hint="eastAsia" w:ascii="宋体" w:hAnsi="宋体" w:eastAsia="宋体" w:cs="仿宋"/>
          <w:sz w:val="28"/>
          <w:szCs w:val="28"/>
          <w:highlight w:val="none"/>
        </w:rPr>
        <w:t>中医</w:t>
      </w:r>
      <w:r>
        <w:rPr>
          <w:rFonts w:hint="eastAsia" w:ascii="宋体" w:hAnsi="宋体" w:eastAsia="宋体" w:cs="仿宋"/>
          <w:sz w:val="28"/>
          <w:szCs w:val="28"/>
          <w:highlight w:val="none"/>
          <w:lang w:val="en-US" w:eastAsia="zh-CN"/>
        </w:rPr>
        <w:t>内科学（肝胆脾胃病方向）、</w:t>
      </w:r>
      <w:r>
        <w:rPr>
          <w:rFonts w:hint="eastAsia" w:ascii="宋体" w:hAnsi="宋体" w:eastAsia="宋体" w:cs="仿宋"/>
          <w:sz w:val="28"/>
          <w:szCs w:val="28"/>
          <w:highlight w:val="none"/>
        </w:rPr>
        <w:t>中医</w:t>
      </w:r>
      <w:r>
        <w:rPr>
          <w:rFonts w:hint="eastAsia" w:ascii="宋体" w:hAnsi="宋体" w:eastAsia="宋体" w:cs="仿宋"/>
          <w:sz w:val="28"/>
          <w:szCs w:val="28"/>
          <w:highlight w:val="none"/>
          <w:lang w:val="en-US" w:eastAsia="zh-CN"/>
        </w:rPr>
        <w:t>内科学（心病方向）、针灸推拿学、方剂学、中医基础理论、中医外科学</w:t>
      </w:r>
      <w:r>
        <w:rPr>
          <w:rFonts w:hint="eastAsia" w:ascii="宋体" w:hAnsi="宋体" w:eastAsia="宋体" w:cs="仿宋"/>
          <w:sz w:val="28"/>
          <w:szCs w:val="28"/>
          <w:highlight w:val="none"/>
        </w:rPr>
        <w:t>。其中呼吸病、感染病（艾滋病）、儿科方向居国内前列。</w:t>
      </w:r>
    </w:p>
    <w:p>
      <w:pPr>
        <w:spacing w:line="360" w:lineRule="auto"/>
        <w:ind w:firstLine="560" w:firstLineChars="200"/>
        <w:rPr>
          <w:rFonts w:hint="eastAsia" w:ascii="宋体" w:hAnsi="宋体" w:eastAsia="宋体" w:cs="仿宋"/>
          <w:sz w:val="28"/>
          <w:szCs w:val="28"/>
          <w:highlight w:val="none"/>
          <w:lang w:val="en-US" w:eastAsia="zh-CN"/>
        </w:rPr>
      </w:pPr>
      <w:r>
        <w:rPr>
          <w:rFonts w:hint="eastAsia" w:ascii="宋体" w:hAnsi="宋体" w:eastAsia="宋体" w:cs="仿宋"/>
          <w:sz w:val="28"/>
          <w:szCs w:val="28"/>
        </w:rPr>
        <w:t>研究方向一：</w:t>
      </w:r>
      <w:r>
        <w:rPr>
          <w:rFonts w:hint="eastAsia" w:ascii="宋体" w:hAnsi="宋体" w:eastAsia="宋体" w:cs="仿宋"/>
          <w:sz w:val="28"/>
          <w:szCs w:val="28"/>
          <w:highlight w:val="none"/>
          <w:lang w:val="en-US" w:eastAsia="zh-CN"/>
        </w:rPr>
        <w:t>中医儿科学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丁樱为学术带头人、任献青为学科带头人、张霞和周荣易为后备带头人，聚焦儿科领域临床诊疗和研究的关键科学问题，重点围绕小儿肾病、脑病、呼吸、感染等优势方向，在证候诊断、治疗方案、康复技术、疗效评价、中药制剂及新药研发、中医药作用机制等方面开展研究，成效显著，主持国家科技部重大课题2项，国家自然科学基金37项，省部级项目97项，获批科研经费5588万元。牵头研制21项中医儿科诊疗指南/共识。获省部级科学技术进步二等奖等各级科研成果奖26项，医疗机构制剂66项，转化1项，发表论文436篇。</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研究方向二：</w:t>
      </w:r>
      <w:r>
        <w:rPr>
          <w:rFonts w:hint="eastAsia" w:ascii="宋体" w:hAnsi="宋体" w:eastAsia="宋体" w:cs="仿宋"/>
          <w:sz w:val="28"/>
          <w:szCs w:val="28"/>
          <w:highlight w:val="none"/>
        </w:rPr>
        <w:t>中医</w:t>
      </w:r>
      <w:r>
        <w:rPr>
          <w:rFonts w:hint="eastAsia" w:ascii="宋体" w:hAnsi="宋体" w:eastAsia="宋体" w:cs="仿宋"/>
          <w:sz w:val="28"/>
          <w:szCs w:val="28"/>
          <w:highlight w:val="none"/>
          <w:lang w:val="en-US" w:eastAsia="zh-CN"/>
        </w:rPr>
        <w:t>内科学（肺病方向）</w:t>
      </w:r>
      <w:r>
        <w:rPr>
          <w:rFonts w:hint="eastAsia" w:ascii="宋体" w:hAnsi="宋体" w:eastAsia="宋体" w:cs="仿宋"/>
          <w:sz w:val="28"/>
          <w:szCs w:val="28"/>
        </w:rPr>
        <w:t xml:space="preserve"> </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李建生为学术带头人、李素云为学科带头人、余学庆为后备带头人，聚焦呼吸疾病临床诊疗和研究的关键科学问题，重点围绕气道阻塞性疾病、呼吸道感染相关疾病、间质性肺病和环境因素致呼吸病等优势方向，在呼吸疾病证候诊断、治疗方案、康复技术、疗效评价、中药制剂及新药研发、中医药作用机制等方面开展研究，成效显著：主持国家重点研发计划“中医药现代化”重点专项“揭榜挂帅”、国家科技支撑计划、“973”计划、国家自然科学基金重点项目等国家级项目/课题98项。牵头研制13项证候标准、14项诊疗方案/技术、14项国际/国内中医诊疗指南/共识。获国家科技进步二等奖2项、省部级一等奖5项，全国创新争先奖状、吴阶平医药创新奖等。获专利与著作权97项，医疗机构制剂22项，新药临床研究批件4项（转化3项）。主编/合著著作16部，发表论文900余篇（SCI收录120余篇）。</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研究方向三：中医内科学（感染病方向）</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徐立然为学术带头人、郭会军为学科带头人、许前磊为后备带头人，将提升学术影响、加强人才培养，建设国内一流标准为建设目标。在艾滋病中医病因病机、证候及演变规律研究、证候生物学基础、治疗方案方法研究、中医药疗效评价等方面成效突出，形成鲜明的特色优势：提出了艾滋病“艾毒伤元”、“脾为枢机”“气虚为本”病因病机新观点，研制了7个艾滋病基本证候诊断量表，建立艾滋病中医疗效评价指标体系；发现了艾滋病中医证候形成的生物学基础，发现了特异性标志物，揭示了中药作用机制，构建了艾滋病中医证候系统生物学研究平台；牵头起草制订《艾滋病中医诊疗指南》、《HIV感染者中医诊疗方案》、《艾滋病泄泻（腹泻）中医诊疗方案》，形成《HIV感染者中西医协同治疗专家共识》，撰写了《河南省艾滋病常见病症中医辨证治疗要点》，规范了艾滋病中医药临床救治，提高了临床疗效；建成了国家艾滋病中医临床研究基地，成为我国防艾工作临床科研实施的重要基地。</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 xml:space="preserve">研究方向四：中医内科学（肝胆脾胃病方向） </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赵文霞为学术带头人、马素平为学科带头人、刘鸣昊为后备带头人，围绕中医药防治消化领域常见及重大疾病关键问题，以中医药防治代谢相关性肝病、原发性肝癌、肝硬化、慢性萎缩性胃炎等常见、多发、重大疾病为研究方向，客观评价中医药防治消化疾病临床疗效，推动中医药综合治疗消化疾病诊疗方案，探索在中医药理论指导下的中药新药开发研制，阐述中医药防治消化疾病的现代医学原理，加快科研转化，推动成果推广，促进人才战略。累计主持国家科技“十三五”重大专项等国家级课题26项，省部级课题39项，获省部级科技进步奖12项，牵头制定中医肝病临床诊疗指南及方案9项，获批专利91项，出版著作235部，发表学术论文880篇，院内制剂16个。</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 xml:space="preserve">研究方向五：中医内科学（心病方向） </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王振涛为学科带头人、吴鸿为后备带头人，主要开展中医药防治心血管疾病的临床与基础研究，目前有中医药治疗心肌疾病（扩张型心肌病、病毒性心肌炎）、心律失常、心力衰竭及冠心病四个稳定的研究方向。首次把宗气下陷作扩张型心肌病的核心病机，运用益气升陷活血方药阶梯递增式治疗扩心病，开发的抗纤益心浓缩丸获批院内制剂；扩张型心肌病被确定为国家第二批临床研究基地重点病种；牵头组织撰写了《扩张型心肌病中西医结合诊疗指南》。提出病毒性心肌炎“虚、瘀、毒”病机理论；提出快速性心律失常“虚、瘀、热”病机理论。在心力衰竭、冠心病治疗方案优化及疗效评价与中医药作用机制研究方面不断深化。</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研究方向六：针灸推拿学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高希言为学科带头人、郭现辉为后备带头人，致力于针灸推拿经典理论、源流及历代医家学术思想的全面总结及挖掘，使针灸推拿经典理论回归临床、指导临床、服务临床；同时对于经典理论指导的针推技术的作用原理，利用现代技术进行其效应和机制分析。形成了调卫健脑法、刺络法、透灸法、三穴五针法、三部推拿法等特色针推技法，在治疗睡眠障碍、哮喘、胃病、腰椎病、偏头痛、肿瘤、脑认知相关疾病等方面开展了基础与临床研究。目前有针灸防治脑病的研究、针灸治疗痛症的研究、针灸治疗脊柱关节及相关脏腑疾病的研究、脊柱关节及脏腑推拿的研究四个方向。牵头单位制定了《针灸技术操作规范“透灸”》《第三腰椎横突综合征针刀临床诊疗指南》《保健调理师》标准，获省级奖5项，获专利60余项，主编/合著著作93部，发表论文500余篇。</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rPr>
        <w:t>研究方向七：</w:t>
      </w:r>
      <w:r>
        <w:rPr>
          <w:rFonts w:hint="eastAsia" w:ascii="宋体" w:hAnsi="宋体" w:eastAsia="宋体" w:cs="仿宋"/>
          <w:sz w:val="28"/>
          <w:szCs w:val="28"/>
          <w:lang w:val="en-US" w:eastAsia="zh-CN"/>
        </w:rPr>
        <w:t>方剂学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许二平为学科带头人、曹姗为后备带头人，围绕仲景学术理论和方药，开展了仲景文献、经方临床经验的传承、经方治疗优势病种的生物学基础等研究，注重仲景特色和传承创新教育，以及中医文化科普宣传。建立张仲景信息平台，中医药省级技能大师工作室，开展张仲景文献信息收集、储存、整理，张仲景经方智能化与标准化，经方基本名词术语标准等研究，促进张仲景经方相关资源共享，有利于更好地传承、发展、推广和应用张仲景学术理论和经方；应用现代技术探索经方的物质基础，提高临床诊治疾病的准确率和有效率，开发新药等。</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研究方向八：中医基础理论</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陈玉龙为学科带头人、高小玲为后备带头人。围绕中医基础理论中证候、方药及方证相应等关键科学问题，以肿瘤方证、五藏方证、情志方证为切入点，以食管癌、慢性阻塞性肺疾病、抑郁症等重大疾病为研究对象，结合传统的文献研究、流行病学调查、数据挖掘与现代生命科学的细胞信号传导理论和技术开展研究。通过文献整理和流行病学调查等方法，分析和归纳疾病证候分布、演变及方药规律，阐明方证相应中医原理。创立方证相关信号分子多重复合物分析方法，采用临床标本揭示疾病证候的分子内涵；运用细胞或分子模型筛选并优化有效中药，创制难治性疾病基本方剂；研究证候发生、方药的作用及方证相应的分子机制，揭示中医证候及方药作用物质基础，为药物研制提供新的分子靶点和方药基础，为中医理论研究提供新假说、新技术和方药支撑。</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w:t>
      </w:r>
      <w:r>
        <w:rPr>
          <w:rFonts w:hint="eastAsia" w:ascii="宋体" w:hAnsi="宋体" w:eastAsia="宋体" w:cs="仿宋"/>
          <w:sz w:val="28"/>
          <w:szCs w:val="28"/>
          <w:lang w:val="en-US" w:eastAsia="zh-CN"/>
        </w:rPr>
        <w:t>九</w:t>
      </w:r>
      <w:r>
        <w:rPr>
          <w:rFonts w:hint="eastAsia" w:ascii="宋体" w:hAnsi="宋体" w:eastAsia="宋体" w:cs="仿宋"/>
          <w:sz w:val="28"/>
          <w:szCs w:val="28"/>
        </w:rPr>
        <w:t>：中医外科学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本方向以王祖龙为学科带头人，琚保军为后备带头人，聚焦中医外科疾病临床诊疗和研究的关键科学问题，重点围绕肛肠、周围血管、皮肤、乳腺、男科、骨伤六个研究方向，在疾病证候诊断、治疗方案、康复技术、疗效评价、中药制剂及新药研发、中医药作用机制等方面开展研究，成效显著。目前承担国家级课题8项，省部级课题27项；发表学术论文246篇，其中SCI等高水平学术论文30篇。出版学术专著48部，参编规划教材3部，出版教材14部，；获得国家发明专利46项。参与制定行业标准、指南、专家共识17项。</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（四）师资队伍</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1.师资规模和结构</w:t>
      </w:r>
    </w:p>
    <w:p>
      <w:pPr>
        <w:pStyle w:val="2"/>
        <w:spacing w:before="0" w:beforeLines="0" w:after="0" w:afterLines="0"/>
        <w:ind w:firstLine="560" w:firstLineChars="200"/>
        <w:jc w:val="both"/>
        <w:rPr>
          <w:rFonts w:hint="eastAsia" w:ascii="宋体" w:hAnsi="宋体" w:eastAsia="宋体" w:cs="仿宋"/>
          <w:color w:val="auto"/>
          <w:sz w:val="28"/>
          <w:szCs w:val="28"/>
        </w:rPr>
      </w:pPr>
      <w:bookmarkStart w:id="2" w:name="OLE_LINK3"/>
      <w:bookmarkStart w:id="3" w:name="OLE_LINK1"/>
      <w:r>
        <w:rPr>
          <w:rFonts w:hint="eastAsia" w:ascii="宋体" w:hAnsi="宋体" w:eastAsia="宋体" w:cs="仿宋"/>
          <w:color w:val="auto"/>
          <w:sz w:val="28"/>
          <w:szCs w:val="28"/>
        </w:rPr>
        <w:t>学位点目前拥有一支由338名导师组成的</w:t>
      </w:r>
      <w:r>
        <w:rPr>
          <w:rFonts w:hint="eastAsia" w:ascii="宋体" w:hAnsi="宋体" w:eastAsia="宋体" w:cs="仿宋"/>
          <w:color w:val="auto"/>
          <w:sz w:val="28"/>
          <w:szCs w:val="28"/>
          <w:highlight w:val="none"/>
          <w:lang w:val="en-US" w:eastAsia="zh-CN"/>
        </w:rPr>
        <w:t>优秀</w:t>
      </w:r>
      <w:r>
        <w:rPr>
          <w:rFonts w:hint="eastAsia" w:ascii="宋体" w:hAnsi="宋体" w:eastAsia="宋体" w:cs="仿宋"/>
          <w:color w:val="auto"/>
          <w:sz w:val="28"/>
          <w:szCs w:val="28"/>
        </w:rPr>
        <w:t>教学团队，</w:t>
      </w:r>
      <w:r>
        <w:rPr>
          <w:rFonts w:hint="eastAsia" w:ascii="宋体" w:hAnsi="宋体" w:eastAsia="宋体" w:cs="仿宋"/>
          <w:color w:val="auto"/>
          <w:sz w:val="28"/>
          <w:szCs w:val="28"/>
          <w:lang w:val="en-US" w:eastAsia="zh-CN"/>
        </w:rPr>
        <w:t>2024年</w:t>
      </w:r>
      <w:r>
        <w:rPr>
          <w:rFonts w:hint="eastAsia" w:ascii="宋体" w:hAnsi="宋体" w:eastAsia="宋体" w:cs="仿宋"/>
          <w:color w:val="auto"/>
          <w:sz w:val="28"/>
          <w:szCs w:val="28"/>
        </w:rPr>
        <w:t>新增博士生导师</w:t>
      </w:r>
      <w:r>
        <w:rPr>
          <w:rFonts w:hint="eastAsia" w:ascii="宋体" w:hAnsi="宋体" w:eastAsia="宋体" w:cs="仿宋"/>
          <w:color w:val="auto"/>
          <w:sz w:val="28"/>
          <w:szCs w:val="28"/>
          <w:highlight w:val="none"/>
          <w:lang w:val="en-US" w:eastAsia="zh-CN"/>
        </w:rPr>
        <w:t>28</w:t>
      </w:r>
      <w:r>
        <w:rPr>
          <w:rFonts w:hint="eastAsia" w:ascii="宋体" w:hAnsi="宋体" w:eastAsia="宋体" w:cs="仿宋"/>
          <w:color w:val="auto"/>
          <w:sz w:val="28"/>
          <w:szCs w:val="28"/>
          <w:highlight w:val="none"/>
        </w:rPr>
        <w:t>人、硕士生导师</w:t>
      </w:r>
      <w:r>
        <w:rPr>
          <w:rFonts w:hint="eastAsia" w:ascii="宋体" w:hAnsi="宋体" w:eastAsia="宋体" w:cs="仿宋"/>
          <w:color w:val="auto"/>
          <w:sz w:val="28"/>
          <w:szCs w:val="28"/>
          <w:highlight w:val="none"/>
          <w:lang w:val="en-US" w:eastAsia="zh-CN"/>
        </w:rPr>
        <w:t>70</w:t>
      </w:r>
      <w:r>
        <w:rPr>
          <w:rFonts w:hint="eastAsia" w:ascii="宋体" w:hAnsi="宋体" w:eastAsia="宋体" w:cs="仿宋"/>
          <w:color w:val="auto"/>
          <w:sz w:val="28"/>
          <w:szCs w:val="28"/>
        </w:rPr>
        <w:t>人。职称分布上，正高级职称169人、占比50%，副高级职称147人、占比43.5%，中级职称22人、占比6.5%；年龄分布上，其中50岁以下共207人、占比61.2%，50岁以上131人、占比38.8%；学历结构上，博士学位193人、占比57.1%，硕士学位122人，占比36.1%；导师结构上，博导86人、占比25.4%，硕士学位教师316人、占比93.5%，兼职博导6人，占比1.8%。最高学位非本单位授予的人数为220人、占比65.1%。整体呈现梯队合理、学历层次高的特点，为高质量教学与研究提供坚实保障。</w:t>
      </w:r>
    </w:p>
    <w:p>
      <w:pPr>
        <w:pStyle w:val="2"/>
        <w:jc w:val="center"/>
        <w:rPr>
          <w:rFonts w:hint="eastAsia" w:ascii="宋体" w:hAnsi="宋体" w:eastAsia="宋体" w:cs="宋体"/>
        </w:rPr>
      </w:pPr>
      <w:r>
        <w:rPr>
          <w:rFonts w:hint="eastAsia" w:ascii="宋体" w:hAnsi="宋体" w:eastAsia="宋体" w:cs="宋体"/>
          <w:color w:val="000000"/>
          <w:kern w:val="0"/>
          <w:sz w:val="28"/>
          <w:szCs w:val="28"/>
          <w:lang w:val="en-US" w:eastAsia="zh-CN" w:bidi="ar"/>
        </w:rPr>
        <w:t>专任教师数量和结构表</w:t>
      </w:r>
    </w:p>
    <w:tbl>
      <w:tblPr>
        <w:tblStyle w:val="3"/>
        <w:tblW w:w="0" w:type="auto"/>
        <w:jc w:val="center"/>
        <w:tblLayout w:type="fixed"/>
        <w:tblCellMar>
          <w:top w:w="0" w:type="dxa"/>
          <w:left w:w="0" w:type="dxa"/>
          <w:bottom w:w="0" w:type="dxa"/>
          <w:right w:w="0" w:type="dxa"/>
        </w:tblCellMar>
      </w:tblPr>
      <w:tblGrid>
        <w:gridCol w:w="860"/>
        <w:gridCol w:w="478"/>
        <w:gridCol w:w="606"/>
        <w:gridCol w:w="494"/>
        <w:gridCol w:w="484"/>
        <w:gridCol w:w="492"/>
        <w:gridCol w:w="598"/>
        <w:gridCol w:w="706"/>
        <w:gridCol w:w="705"/>
        <w:gridCol w:w="727"/>
        <w:gridCol w:w="727"/>
        <w:gridCol w:w="727"/>
        <w:gridCol w:w="722"/>
      </w:tblGrid>
      <w:tr>
        <w:tblPrEx>
          <w:tblCellMar>
            <w:top w:w="0" w:type="dxa"/>
            <w:left w:w="0" w:type="dxa"/>
            <w:bottom w:w="0" w:type="dxa"/>
            <w:right w:w="0" w:type="dxa"/>
          </w:tblCellMar>
        </w:tblPrEx>
        <w:trPr>
          <w:trHeight w:val="100" w:hRule="atLeast"/>
          <w:jc w:val="center"/>
        </w:trPr>
        <w:tc>
          <w:tcPr>
            <w:tcW w:w="860" w:type="dxa"/>
            <w:vMerge w:val="restart"/>
            <w:tcBorders>
              <w:top w:val="single" w:color="000000" w:sz="4" w:space="0"/>
              <w:left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专业技术职务</w:t>
            </w:r>
          </w:p>
        </w:tc>
        <w:tc>
          <w:tcPr>
            <w:tcW w:w="478" w:type="dxa"/>
            <w:vMerge w:val="restart"/>
            <w:tcBorders>
              <w:top w:val="single" w:color="000000" w:sz="4" w:space="0"/>
              <w:left w:val="nil"/>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人数合计</w:t>
            </w:r>
          </w:p>
        </w:tc>
        <w:tc>
          <w:tcPr>
            <w:tcW w:w="2674" w:type="dxa"/>
            <w:gridSpan w:val="5"/>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年龄分布</w:t>
            </w:r>
          </w:p>
        </w:tc>
        <w:tc>
          <w:tcPr>
            <w:tcW w:w="1411" w:type="dxa"/>
            <w:gridSpan w:val="2"/>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学历结构</w:t>
            </w:r>
          </w:p>
        </w:tc>
        <w:tc>
          <w:tcPr>
            <w:tcW w:w="727" w:type="dxa"/>
            <w:vMerge w:val="restart"/>
            <w:tcBorders>
              <w:top w:val="single" w:color="000000" w:sz="4" w:space="0"/>
              <w:left w:val="nil"/>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博士导师人数</w:t>
            </w:r>
          </w:p>
        </w:tc>
        <w:tc>
          <w:tcPr>
            <w:tcW w:w="727" w:type="dxa"/>
            <w:vMerge w:val="restart"/>
            <w:tcBorders>
              <w:top w:val="single" w:color="000000" w:sz="4" w:space="0"/>
              <w:left w:val="nil"/>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硕士导师人数</w:t>
            </w:r>
          </w:p>
        </w:tc>
        <w:tc>
          <w:tcPr>
            <w:tcW w:w="727" w:type="dxa"/>
            <w:vMerge w:val="restart"/>
            <w:tcBorders>
              <w:top w:val="single" w:color="000000" w:sz="4" w:space="0"/>
              <w:left w:val="nil"/>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最高学位非本单位授予的人数</w:t>
            </w:r>
          </w:p>
        </w:tc>
        <w:tc>
          <w:tcPr>
            <w:tcW w:w="722" w:type="dxa"/>
            <w:vMerge w:val="restart"/>
            <w:tcBorders>
              <w:top w:val="single" w:color="000000" w:sz="4" w:space="0"/>
              <w:left w:val="nil"/>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兼职博导人数</w:t>
            </w:r>
          </w:p>
        </w:tc>
      </w:tr>
      <w:tr>
        <w:tblPrEx>
          <w:tblCellMar>
            <w:top w:w="0" w:type="dxa"/>
            <w:left w:w="0" w:type="dxa"/>
            <w:bottom w:w="0" w:type="dxa"/>
            <w:right w:w="0" w:type="dxa"/>
          </w:tblCellMar>
        </w:tblPrEx>
        <w:trPr>
          <w:trHeight w:val="600" w:hRule="atLeast"/>
          <w:jc w:val="center"/>
        </w:trPr>
        <w:tc>
          <w:tcPr>
            <w:tcW w:w="860" w:type="dxa"/>
            <w:vMerge w:val="continue"/>
            <w:tcBorders>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c>
          <w:tcPr>
            <w:tcW w:w="478" w:type="dxa"/>
            <w:vMerge w:val="continue"/>
            <w:tcBorders>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25岁及以下</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26至35岁</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36至45岁</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46至59岁</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60岁及以上</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博士学位教师</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硕士学位教师</w:t>
            </w:r>
          </w:p>
        </w:tc>
        <w:tc>
          <w:tcPr>
            <w:tcW w:w="727" w:type="dxa"/>
            <w:vMerge w:val="continue"/>
            <w:tcBorders>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c>
          <w:tcPr>
            <w:tcW w:w="727" w:type="dxa"/>
            <w:vMerge w:val="continue"/>
            <w:tcBorders>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c>
          <w:tcPr>
            <w:tcW w:w="727" w:type="dxa"/>
            <w:vMerge w:val="continue"/>
            <w:tcBorders>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c>
          <w:tcPr>
            <w:tcW w:w="722" w:type="dxa"/>
            <w:vMerge w:val="continue"/>
            <w:tcBorders>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p>
        </w:tc>
      </w:tr>
      <w:tr>
        <w:tblPrEx>
          <w:tblCellMar>
            <w:top w:w="0" w:type="dxa"/>
            <w:left w:w="0" w:type="dxa"/>
            <w:bottom w:w="0" w:type="dxa"/>
            <w:right w:w="0" w:type="dxa"/>
          </w:tblCellMar>
        </w:tblPrEx>
        <w:trPr>
          <w:trHeight w:val="239"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正高级</w:t>
            </w:r>
          </w:p>
        </w:tc>
        <w:tc>
          <w:tcPr>
            <w:tcW w:w="47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169</w:t>
            </w: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18</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122</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w:t>
            </w:r>
            <w:r>
              <w:rPr>
                <w:rFonts w:hint="eastAsia" w:ascii="宋体" w:hAnsi="宋体" w:eastAsia="宋体" w:cs="宋体"/>
                <w:color w:val="000000"/>
                <w:sz w:val="21"/>
                <w:szCs w:val="21"/>
                <w:highlight w:val="none"/>
                <w:lang w:val="en-US" w:eastAsia="zh-CN"/>
              </w:rPr>
              <w:t>9</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98</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48</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21</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148</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78</w:t>
            </w:r>
          </w:p>
        </w:tc>
        <w:tc>
          <w:tcPr>
            <w:tcW w:w="72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301"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副高级</w:t>
            </w:r>
          </w:p>
        </w:tc>
        <w:tc>
          <w:tcPr>
            <w:tcW w:w="47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147</w:t>
            </w: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95</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48</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73</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74</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1</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146</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73</w:t>
            </w:r>
          </w:p>
        </w:tc>
        <w:tc>
          <w:tcPr>
            <w:tcW w:w="72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93"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中级</w:t>
            </w:r>
          </w:p>
        </w:tc>
        <w:tc>
          <w:tcPr>
            <w:tcW w:w="47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w:t>
            </w: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0</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0</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22</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42</w:t>
            </w:r>
          </w:p>
        </w:tc>
        <w:tc>
          <w:tcPr>
            <w:tcW w:w="72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183"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tc>
        <w:tc>
          <w:tcPr>
            <w:tcW w:w="47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0</w:t>
            </w: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0</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0</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0</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0</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0</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0</w:t>
            </w:r>
          </w:p>
        </w:tc>
        <w:tc>
          <w:tcPr>
            <w:tcW w:w="72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r>
      <w:tr>
        <w:tblPrEx>
          <w:tblCellMar>
            <w:top w:w="0" w:type="dxa"/>
            <w:left w:w="0" w:type="dxa"/>
            <w:bottom w:w="0" w:type="dxa"/>
            <w:right w:w="0" w:type="dxa"/>
          </w:tblCellMar>
        </w:tblPrEx>
        <w:trPr>
          <w:trHeight w:val="60"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总计</w:t>
            </w:r>
          </w:p>
        </w:tc>
        <w:tc>
          <w:tcPr>
            <w:tcW w:w="47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338</w:t>
            </w:r>
          </w:p>
        </w:tc>
        <w:tc>
          <w:tcPr>
            <w:tcW w:w="6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highlight w:val="none"/>
              </w:rPr>
            </w:pPr>
            <w:r>
              <w:rPr>
                <w:rFonts w:hint="eastAsia" w:ascii="宋体" w:hAnsi="宋体" w:eastAsia="宋体" w:cs="宋体"/>
                <w:highlight w:val="none"/>
              </w:rPr>
              <w:t>0</w:t>
            </w:r>
          </w:p>
        </w:tc>
        <w:tc>
          <w:tcPr>
            <w:tcW w:w="49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16</w:t>
            </w:r>
          </w:p>
        </w:tc>
        <w:tc>
          <w:tcPr>
            <w:tcW w:w="484"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122</w:t>
            </w:r>
          </w:p>
        </w:tc>
        <w:tc>
          <w:tcPr>
            <w:tcW w:w="49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171</w:t>
            </w:r>
          </w:p>
        </w:tc>
        <w:tc>
          <w:tcPr>
            <w:tcW w:w="598"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0</w:t>
            </w:r>
          </w:p>
        </w:tc>
        <w:tc>
          <w:tcPr>
            <w:tcW w:w="706"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193</w:t>
            </w:r>
          </w:p>
        </w:tc>
        <w:tc>
          <w:tcPr>
            <w:tcW w:w="705"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122</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22</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center"/>
          </w:tcPr>
          <w:p>
            <w:pPr>
              <w:jc w:val="center"/>
              <w:textAlignment w:val="center"/>
              <w:rPr>
                <w:rFonts w:hint="default" w:ascii="宋体" w:hAnsi="宋体" w:eastAsia="宋体" w:cs="宋体"/>
                <w:color w:val="000000"/>
                <w:sz w:val="21"/>
                <w:szCs w:val="21"/>
                <w:highlight w:val="none"/>
                <w:lang w:val="en-US" w:eastAsia="zh-CN"/>
              </w:rPr>
            </w:pPr>
            <w:r>
              <w:rPr>
                <w:rFonts w:hint="eastAsia" w:ascii="宋体" w:hAnsi="宋体" w:eastAsia="宋体" w:cs="宋体"/>
                <w:highlight w:val="none"/>
                <w:lang w:val="en-US" w:eastAsia="zh-CN"/>
              </w:rPr>
              <w:t>316</w:t>
            </w:r>
          </w:p>
        </w:tc>
        <w:tc>
          <w:tcPr>
            <w:tcW w:w="727"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top"/>
          </w:tcPr>
          <w:p>
            <w:pPr>
              <w:jc w:val="center"/>
              <w:textAlignment w:val="center"/>
              <w:rPr>
                <w:rFonts w:hint="eastAsia" w:ascii="宋体" w:hAnsi="宋体" w:eastAsia="宋体" w:cs="宋体"/>
                <w:color w:val="000000"/>
                <w:sz w:val="21"/>
                <w:szCs w:val="21"/>
                <w:highlight w:val="none"/>
              </w:rPr>
            </w:pPr>
          </w:p>
        </w:tc>
        <w:tc>
          <w:tcPr>
            <w:tcW w:w="722" w:type="dxa"/>
            <w:tcBorders>
              <w:top w:val="single" w:color="000000" w:sz="4" w:space="0"/>
              <w:left w:val="nil"/>
              <w:bottom w:val="single" w:color="000000" w:sz="4" w:space="0"/>
              <w:right w:val="single" w:color="000000" w:sz="4" w:space="0"/>
            </w:tcBorders>
            <w:noWrap w:val="0"/>
            <w:tcMar>
              <w:top w:w="10" w:type="dxa"/>
              <w:left w:w="10" w:type="dxa"/>
              <w:bottom w:w="0" w:type="dxa"/>
              <w:right w:w="10" w:type="dxa"/>
            </w:tcMar>
            <w:vAlign w:val="top"/>
          </w:tcPr>
          <w:p>
            <w:pPr>
              <w:jc w:val="center"/>
              <w:textAlignment w:val="center"/>
              <w:rPr>
                <w:rFonts w:hint="eastAsia" w:ascii="宋体" w:hAnsi="宋体" w:eastAsia="宋体" w:cs="宋体"/>
                <w:color w:val="000000"/>
                <w:sz w:val="21"/>
                <w:szCs w:val="21"/>
              </w:rPr>
            </w:pPr>
          </w:p>
        </w:tc>
      </w:tr>
      <w:bookmarkEnd w:id="2"/>
    </w:tbl>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2.师资水平</w:t>
      </w:r>
    </w:p>
    <w:p>
      <w:pPr>
        <w:spacing w:line="360" w:lineRule="auto"/>
        <w:ind w:firstLine="560" w:firstLineChars="200"/>
        <w:rPr>
          <w:rFonts w:hint="eastAsia" w:ascii="宋体" w:hAnsi="宋体" w:eastAsia="宋体" w:cs="仿宋"/>
          <w:sz w:val="28"/>
          <w:szCs w:val="28"/>
          <w:highlight w:val="none"/>
        </w:rPr>
      </w:pPr>
      <w:r>
        <w:rPr>
          <w:rFonts w:hint="eastAsia" w:ascii="宋体" w:hAnsi="宋体" w:eastAsia="宋体" w:cs="仿宋"/>
          <w:sz w:val="28"/>
          <w:szCs w:val="28"/>
          <w:highlight w:val="none"/>
        </w:rPr>
        <w:t>2.1学术带头人情况</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highlight w:val="none"/>
        </w:rPr>
        <w:t>研究方向一：中医儿科学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color w:val="auto"/>
          <w:sz w:val="28"/>
          <w:szCs w:val="28"/>
        </w:rPr>
        <w:t>丁樱</w:t>
      </w:r>
      <w:r>
        <w:rPr>
          <w:rFonts w:hint="eastAsia" w:ascii="宋体" w:hAnsi="宋体" w:eastAsia="宋体" w:cs="仿宋"/>
          <w:color w:val="auto"/>
          <w:sz w:val="28"/>
          <w:szCs w:val="28"/>
          <w:lang w:eastAsia="zh-CN"/>
        </w:rPr>
        <w:t>，</w:t>
      </w:r>
      <w:r>
        <w:rPr>
          <w:rFonts w:hint="eastAsia" w:ascii="宋体" w:hAnsi="宋体" w:eastAsia="宋体" w:cs="仿宋"/>
          <w:color w:val="auto"/>
          <w:sz w:val="28"/>
          <w:szCs w:val="28"/>
        </w:rPr>
        <w:t>教授，博导，</w:t>
      </w:r>
      <w:r>
        <w:rPr>
          <w:rFonts w:hint="eastAsia" w:ascii="宋体" w:hAnsi="宋体" w:eastAsia="宋体" w:cs="仿宋"/>
          <w:sz w:val="28"/>
          <w:szCs w:val="28"/>
        </w:rPr>
        <w:t>博士。国医大师、中国中医科学院学部执行委员、首届全国名中医、中医药高等学校教学名师、全国卫生系统先进工作者、全国师德师风先进个人、2023年全国最美医生。主持各项课题40项；获省厅级成果31项；出版学术著作36部，其中主编国家规划教材3部、副主编6部；发表核心期刊及SCI论文150余篇；主持制定优势病种行业标准、诊疗指南9项，发明专利2项。</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 xml:space="preserve">研究方向二：中医内科学（肺病方向） </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lang w:val="en-US" w:eastAsia="zh-CN"/>
        </w:rPr>
        <w:t>李建生，</w:t>
      </w:r>
      <w:r>
        <w:rPr>
          <w:rFonts w:hint="eastAsia" w:ascii="宋体" w:hAnsi="宋体" w:eastAsia="宋体" w:cs="仿宋"/>
          <w:sz w:val="28"/>
          <w:szCs w:val="28"/>
        </w:rPr>
        <w:t>教授，博导，博士。长江学者、万人计划领军人才、岐黄工程首席科学家。国家科技进步二等奖2项、省部一等奖5项，全国创新争先奖状等。研制13项证候标准、14项诊疗方案/技术、14项国际/国内中医诊疗指南/共识，4项新药临床研究批件（转化3项）。</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研究方向三：中医内科学（感染方向）</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lang w:val="en-US" w:eastAsia="zh-CN"/>
        </w:rPr>
        <w:t>徐立然，</w:t>
      </w:r>
      <w:r>
        <w:rPr>
          <w:rFonts w:hint="eastAsia" w:ascii="宋体" w:hAnsi="宋体" w:eastAsia="宋体" w:cs="仿宋"/>
          <w:sz w:val="28"/>
          <w:szCs w:val="28"/>
        </w:rPr>
        <w:t>教授，博导，博士。卫生部有突出贡献中青年专家，国务院政府特殊津贴专家，中华中医药学会艾滋病分会名誉主任委员，世界中医药联合会艾滋病专业委员会会长，河南名中医，中国好医生。承担国家科技重大专项多项。</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 xml:space="preserve">研究方向四：中医内科学（肝胆脾胃病方向） </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lang w:val="en-US" w:eastAsia="zh-CN"/>
        </w:rPr>
        <w:t>赵文霞，</w:t>
      </w:r>
      <w:r>
        <w:rPr>
          <w:rFonts w:hint="eastAsia" w:ascii="宋体" w:hAnsi="宋体" w:eastAsia="宋体" w:cs="仿宋"/>
          <w:sz w:val="28"/>
          <w:szCs w:val="28"/>
        </w:rPr>
        <w:t>教授，博导，博士。全国名中医，国家级人才计划入选者。中华中医药学会肝胆病分会、脾胃病分会名誉副主任委员，世界中医药联合会消化病分会副会长，中国民族医药学会肝病分会、脾胃病分会副会长。牵头制定7项标准/指南，获河南省科技进步二等奖5项、三等奖1项，中华中医药学会科学技术二等奖2项。</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 xml:space="preserve">研究方向五：中医内科学（心病方向） </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lang w:val="en-US" w:eastAsia="zh-CN"/>
        </w:rPr>
        <w:t>王振涛，</w:t>
      </w:r>
      <w:r>
        <w:rPr>
          <w:rFonts w:hint="eastAsia" w:ascii="宋体" w:hAnsi="宋体" w:eastAsia="宋体" w:cs="仿宋"/>
          <w:sz w:val="28"/>
          <w:szCs w:val="28"/>
        </w:rPr>
        <w:t>教授，博导，博士。全国优秀中医临床人才，国务院特殊津贴专家，国家中管局重点研究室主任，全国老中医药专家学术继承工作指导老师。中华中医药学会心血管病分会副主任委员、河南省中医药学会心血管分会主任委员等。获河南省科技进步二等奖5项，国家发明专利4项，出版专著9部，发表论文300余篇。</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研究方向六：针灸推拿学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lang w:val="en-US" w:eastAsia="zh-CN"/>
        </w:rPr>
        <w:t>高希言，</w:t>
      </w:r>
      <w:r>
        <w:rPr>
          <w:rFonts w:hint="eastAsia" w:ascii="宋体" w:hAnsi="宋体" w:eastAsia="宋体" w:cs="仿宋"/>
          <w:sz w:val="28"/>
          <w:szCs w:val="28"/>
        </w:rPr>
        <w:t>教授、博导，博士。国家中医药管理局针灸学科带头人，世界针联国际针灸操作规范透灸标准制订人，中国针灸学会针灸文献专业委员会副主任委员，中国康复医学会针灸技术与康复专业委员会第一届主任委员，主编《各家针灸学说》等国家中医药管理局“十二五”“十三五”“十四五”行业规划教材7部。</w:t>
      </w:r>
    </w:p>
    <w:p>
      <w:pPr>
        <w:spacing w:line="360" w:lineRule="auto"/>
        <w:ind w:firstLine="560" w:firstLineChars="200"/>
        <w:rPr>
          <w:rFonts w:hint="default" w:ascii="宋体" w:hAnsi="宋体" w:eastAsia="宋体" w:cs="仿宋"/>
          <w:sz w:val="28"/>
          <w:szCs w:val="28"/>
          <w:lang w:val="en-US" w:eastAsia="zh-CN"/>
        </w:rPr>
      </w:pPr>
      <w:r>
        <w:rPr>
          <w:rFonts w:hint="eastAsia" w:ascii="宋体" w:hAnsi="宋体" w:eastAsia="宋体" w:cs="仿宋"/>
          <w:sz w:val="28"/>
          <w:szCs w:val="28"/>
        </w:rPr>
        <w:t>研究方向七：</w:t>
      </w:r>
      <w:r>
        <w:rPr>
          <w:rFonts w:hint="eastAsia" w:ascii="宋体" w:hAnsi="宋体" w:eastAsia="宋体" w:cs="仿宋"/>
          <w:sz w:val="28"/>
          <w:szCs w:val="28"/>
          <w:lang w:val="en-US" w:eastAsia="zh-CN"/>
        </w:rPr>
        <w:t>方剂学</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lang w:val="en-US" w:eastAsia="zh-CN"/>
        </w:rPr>
        <w:t>许二平，</w:t>
      </w:r>
      <w:r>
        <w:rPr>
          <w:rFonts w:hint="eastAsia" w:ascii="宋体" w:hAnsi="宋体" w:eastAsia="宋体" w:cs="仿宋"/>
          <w:sz w:val="28"/>
          <w:szCs w:val="28"/>
        </w:rPr>
        <w:t>教授，博导，博士。享国务院特殊津贴专家，河南省高层次人才，国家中医药管理局高水平建设学科伤寒学科带头人，豫药全产业链研发河南省协同创新中心主任。主持国家及省部级课题10余项，获省部级一等奖2项，二等奖4项。发表包含SCI在内的学术论文260余篇，编写教材和专著27部；获发明专利3项，软件著作权4项。</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rPr>
        <w:t>研究方向八：中医基础理论</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lang w:val="en-US" w:eastAsia="zh-CN"/>
        </w:rPr>
        <w:t>陈玉龙，</w:t>
      </w:r>
      <w:r>
        <w:rPr>
          <w:rFonts w:hint="eastAsia" w:ascii="宋体" w:hAnsi="宋体" w:eastAsia="宋体" w:cs="仿宋"/>
          <w:sz w:val="28"/>
          <w:szCs w:val="28"/>
        </w:rPr>
        <w:t>教授，博导，博士。教育部新世纪优秀人才，首届全国中医基础优秀人才学员。主持国家自然科学基金项目及省部级项目11项，共发表论文182篇，授权发明专利3项，获得计算机软件著作权2项。</w:t>
      </w:r>
    </w:p>
    <w:p>
      <w:pPr>
        <w:pStyle w:val="2"/>
        <w:ind w:firstLine="560" w:firstLineChars="200"/>
        <w:rPr>
          <w:rFonts w:hint="eastAsia" w:ascii="宋体" w:hAnsi="宋体" w:eastAsia="宋体" w:cs="仿宋"/>
          <w:sz w:val="28"/>
          <w:szCs w:val="28"/>
        </w:rPr>
      </w:pPr>
      <w:r>
        <w:rPr>
          <w:rFonts w:hint="eastAsia" w:ascii="宋体" w:hAnsi="宋体" w:eastAsia="宋体" w:cs="仿宋"/>
          <w:sz w:val="28"/>
          <w:szCs w:val="28"/>
        </w:rPr>
        <w:t>研究方向</w:t>
      </w:r>
      <w:r>
        <w:rPr>
          <w:rFonts w:hint="eastAsia" w:ascii="宋体" w:hAnsi="宋体" w:eastAsia="宋体" w:cs="仿宋"/>
          <w:sz w:val="28"/>
          <w:szCs w:val="28"/>
          <w:lang w:val="en-US" w:eastAsia="zh-CN"/>
        </w:rPr>
        <w:t>九</w:t>
      </w:r>
      <w:r>
        <w:rPr>
          <w:rFonts w:hint="eastAsia" w:ascii="宋体" w:hAnsi="宋体" w:eastAsia="宋体" w:cs="仿宋"/>
          <w:sz w:val="28"/>
          <w:szCs w:val="28"/>
        </w:rPr>
        <w:t>：中医外科学</w:t>
      </w:r>
    </w:p>
    <w:p>
      <w:pPr>
        <w:pStyle w:val="2"/>
        <w:ind w:firstLine="560" w:firstLineChars="200"/>
        <w:rPr>
          <w:rFonts w:hint="eastAsia"/>
        </w:rPr>
      </w:pPr>
      <w:r>
        <w:rPr>
          <w:rFonts w:hint="eastAsia" w:ascii="宋体" w:hAnsi="宋体" w:eastAsia="宋体" w:cs="仿宋"/>
          <w:sz w:val="28"/>
          <w:szCs w:val="28"/>
          <w:lang w:val="en-US" w:eastAsia="zh-CN"/>
        </w:rPr>
        <w:t>王祖龙，</w:t>
      </w:r>
      <w:r>
        <w:rPr>
          <w:rFonts w:hint="eastAsia" w:ascii="宋体" w:hAnsi="宋体" w:eastAsia="宋体" w:cs="仿宋"/>
          <w:sz w:val="28"/>
          <w:szCs w:val="28"/>
        </w:rPr>
        <w:t>教授，博导，博士。河南省名中医，中华中医药学会男科分会副主任委员，中华中医药学会生殖医学分会副主任委员，中国中药协会男科药物研究专业委员会副主任委员，中国中西医结合学会男科分会常委。主持国家自然科学基金1项，省部级课题3项，发表论文130余篇，SCI15篇，专著10部，获省部级科研成果奖3项，厅局级科研成果6项，发明专利10项</w:t>
      </w:r>
      <w:r>
        <w:rPr>
          <w:rFonts w:hint="eastAsia" w:ascii="宋体" w:hAnsi="宋体" w:eastAsia="宋体" w:cs="仿宋"/>
          <w:sz w:val="28"/>
          <w:szCs w:val="28"/>
          <w:lang w:eastAsia="zh-CN"/>
        </w:rPr>
        <w:t>。</w:t>
      </w:r>
    </w:p>
    <w:bookmarkEnd w:id="3"/>
    <w:p>
      <w:pPr>
        <w:spacing w:after="156" w:afterLines="50" w:line="560" w:lineRule="exact"/>
        <w:jc w:val="left"/>
        <w:rPr>
          <w:rFonts w:ascii="Times New Roman" w:hAnsi="Times New Roman" w:eastAsia="方正小标宋简体"/>
          <w:b/>
          <w:sz w:val="32"/>
          <w:szCs w:val="32"/>
        </w:rPr>
      </w:pPr>
      <w:r>
        <w:rPr>
          <w:rFonts w:hint="eastAsia" w:ascii="Times New Roman" w:hAnsi="Times New Roman" w:eastAsia="方正小标宋简体"/>
          <w:b/>
          <w:sz w:val="32"/>
          <w:szCs w:val="32"/>
        </w:rPr>
        <w:t>二、年度建设取得的成绩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bookmarkStart w:id="4" w:name="OLE_LINK2"/>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一</w:t>
      </w:r>
      <w:r>
        <w:rPr>
          <w:rFonts w:hint="eastAsia" w:ascii="宋体" w:hAnsi="宋体" w:eastAsia="宋体"/>
          <w:sz w:val="28"/>
          <w:szCs w:val="28"/>
          <w:highlight w:val="none"/>
          <w:lang w:eastAsia="zh-CN"/>
        </w:rPr>
        <w:t>）</w:t>
      </w:r>
      <w:bookmarkEnd w:id="4"/>
      <w:r>
        <w:rPr>
          <w:rFonts w:hint="eastAsia" w:ascii="宋体" w:hAnsi="宋体" w:eastAsia="宋体"/>
          <w:sz w:val="28"/>
          <w:szCs w:val="28"/>
          <w:highlight w:val="none"/>
        </w:rPr>
        <w:t>制度建设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2024年，河南中医药大学以国家中医药发展战略为引领，全面落实关于研究生教育的各项规章制度，构建了“三级管理、分类培养、动态优化”的特色体系。学校通过完善校院学位点三级协同管理架构，成立跨院系专项委员会强化责任落实，并依托年度自评与教育部周期性评估形成质量监控闭环；细化分类培养路径，学术学位聚焦科研创新，要求博士生参与国家级科研项目，专业学位则对接执业医师标准，推行“双导师制”及临床技能考核模块，实现学术与职业能力并重；强化师资动态管理，推动学科交叉融合；通过制度创新与资源整合，学位点形成“特色鲜明、质量可控、服务需求”的建设格局，为冲刺更高学科水平奠定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二</w:t>
      </w:r>
      <w:r>
        <w:rPr>
          <w:rFonts w:hint="eastAsia" w:ascii="宋体" w:hAnsi="宋体" w:eastAsia="宋体"/>
          <w:sz w:val="28"/>
          <w:szCs w:val="28"/>
          <w:highlight w:val="none"/>
          <w:lang w:eastAsia="zh-CN"/>
        </w:rPr>
        <w:t>）</w:t>
      </w:r>
      <w:r>
        <w:rPr>
          <w:rFonts w:hint="eastAsia" w:ascii="宋体" w:hAnsi="宋体" w:eastAsia="宋体"/>
          <w:sz w:val="28"/>
          <w:szCs w:val="28"/>
          <w:highlight w:val="none"/>
        </w:rPr>
        <w:t>师资队伍建设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val="en-US" w:eastAsia="zh-CN"/>
        </w:rPr>
      </w:pPr>
      <w:r>
        <w:rPr>
          <w:rFonts w:hint="eastAsia" w:ascii="宋体" w:hAnsi="宋体" w:eastAsia="宋体"/>
          <w:b/>
          <w:bCs/>
          <w:sz w:val="28"/>
          <w:szCs w:val="28"/>
          <w:highlight w:val="none"/>
          <w:lang w:val="en-US" w:eastAsia="zh-CN"/>
        </w:rPr>
        <w:t>导师遴选方面</w:t>
      </w:r>
      <w:r>
        <w:rPr>
          <w:rFonts w:hint="eastAsia" w:ascii="宋体" w:hAnsi="宋体" w:eastAsia="宋体"/>
          <w:sz w:val="28"/>
          <w:szCs w:val="28"/>
          <w:highlight w:val="none"/>
          <w:lang w:val="en-US" w:eastAsia="zh-CN"/>
        </w:rPr>
        <w:t>：导师遴选本着严格遴选标准、多环节审核与公示、动态管理和滚动遴选的原则，注重师德师风，采用多维度评价体系、多学科交叉与跨专业遴选、多渠道引进优秀导师，提升科研经费和项目要求，确保导师队伍的高质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一是严格遴选标准、多环节审核与公示。改革导师遴选和评定办法，突出思想品德及科研业绩在遴选条件中的比重，并打破职称与资历的限制，申报博士研究生导师者，须担任正高级职称，且具有博士研究生学历和博士学位，对承担国家级科研项目或课题的具有博士学位的副高级以上职称教师，如单项经费在50万以上者可遴选博士生导师、单项经费在15万以上的具有中级职称教师，可遴选硕士生导师。通过个人申请与材料提交、学科初步审核、培养单位审核、学位分委员会专家讨论表决、培养单位公示、学校专家复审、校学位委员会审批、学校公示等环节，确保了研究生导师遴选公正性、透明度和科学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二是动态管理和滚动遴选。根据学校研究生教育的需要，合理确定导师数量。导师遴选工作每两年进行一次，2024年我校中医学新晋博士生导师28人，新晋硕士生导师70人。为促进科教融合和产教融合，自2023年增加硕士专业学位行业导师遴选，制定《河南中医药大学专业学位硕士研究生行业导师管理办法（试行）》，在与学校有合作关系的单位中选聘优秀的专业学位行业导师，中医学新聘行业导师32人，与校内导师联合培养，进一步激发导师队伍发展的内生动力。建立导师考核评估体系，对导师资格进行动态管理，确保导师队伍的整体素质；强化导师与招生培养紧密衔接的岗位意识，依据导师学术业绩、年度考核、科研经费等核定招生资格，保证学生的培养质量。</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val="en-US" w:eastAsia="zh-CN"/>
        </w:rPr>
      </w:pPr>
      <w:r>
        <w:rPr>
          <w:rFonts w:hint="eastAsia" w:ascii="宋体" w:hAnsi="宋体" w:eastAsia="宋体"/>
          <w:b/>
          <w:bCs/>
          <w:sz w:val="28"/>
          <w:szCs w:val="28"/>
          <w:highlight w:val="none"/>
          <w:lang w:val="en-US" w:eastAsia="zh-CN"/>
        </w:rPr>
        <w:t>导师培训方面</w:t>
      </w:r>
      <w:r>
        <w:rPr>
          <w:rFonts w:hint="eastAsia" w:ascii="宋体" w:hAnsi="宋体" w:eastAsia="宋体"/>
          <w:sz w:val="28"/>
          <w:szCs w:val="28"/>
          <w:highlight w:val="none"/>
          <w:lang w:val="en-US" w:eastAsia="zh-CN"/>
        </w:rPr>
        <w:t>：一是丰富导师培训形式，除了集中授课、专题讲座、研修班等形式外，还邀请了岐黄学者王新志教授分享育人经验，开展《研究生导师人文关怀的心理策略》专题研讨，召开师生座谈会等碰撞性、交互性较强的方式，同时还通过组织导师到河南省科学技术馆、河南省地质科学家精神教育基地考察实践等活动形式进行培训，让导师们愿意来、听得进、有收获。二是进一步完善分层次差异化培训方案，提升培训针对性，根据导师不同任职时长的不同培训需求，不断完善分层次差异化的培训方案，提升培训的针对性。对于新遴选导师，以角色转变为培训目标，作《如何做一名称职的研究生导师》《强化立德树人职责，提升导师指导能力》《新晋导师业务能力提升》《研究生培养政策解读》等培训；对于任职时间长、培养经验相对丰富的导师，通过《谈古论今话人才》《学校教育教学改革的探索与实践》《研究生的学习任务与行为规范》等专题讲座，以提高导师岗位责任、实际工作能力、专业素质及育人能力为目标，分层次、差异化培训，把准方向、统筹全局、突出重点，增强培训的实际效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val="en-US" w:eastAsia="zh-CN"/>
        </w:rPr>
      </w:pPr>
      <w:r>
        <w:rPr>
          <w:rFonts w:hint="eastAsia" w:ascii="宋体" w:hAnsi="宋体" w:eastAsia="宋体"/>
          <w:b/>
          <w:bCs/>
          <w:sz w:val="28"/>
          <w:szCs w:val="28"/>
          <w:highlight w:val="none"/>
          <w:lang w:val="en-US" w:eastAsia="zh-CN"/>
        </w:rPr>
        <w:t>导师考核方面</w:t>
      </w:r>
      <w:r>
        <w:rPr>
          <w:rFonts w:hint="eastAsia" w:ascii="宋体" w:hAnsi="宋体" w:eastAsia="宋体"/>
          <w:sz w:val="28"/>
          <w:szCs w:val="28"/>
          <w:highlight w:val="none"/>
          <w:lang w:val="en-US" w:eastAsia="zh-CN"/>
        </w:rPr>
        <w:t>：完善导师考核评价体系，按照《河南中医药大学研究生指导教师考核办法》进行年度考核，将学生、导师、培养单位纳入考评主体，优化学生评价、自我评价、培养单位评价等多元评价机制。以德、能、勤、绩等为主要内容，构建以立德树人为根本，结果评价和过程评价有机结合的多维评价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yellow"/>
        </w:rPr>
      </w:pPr>
      <w:r>
        <w:rPr>
          <w:rFonts w:hint="eastAsia" w:ascii="宋体" w:hAnsi="宋体" w:eastAsia="宋体"/>
          <w:sz w:val="28"/>
          <w:szCs w:val="28"/>
          <w:highlight w:val="none"/>
          <w:lang w:val="en-US" w:eastAsia="zh-CN"/>
        </w:rPr>
        <w:t>强化考评结果应用，发挥优秀导师和导师团队的示范引领作用，对于考核发现问题的导师，建立预警与退出机制，将考评结果与招生资格有效衔接，每年年初考核上一年度工作情况，各学院考评本单位所属各学科导师，并审核、存档有关支撑材料，确定导师考核结果等级。研究生院对学院考核优秀等级的导师进行审核，最后由学校统一认定、公布导师考核结果。凡考核为不合格的导师，限制其下一年度研究生招生资格；累计两次考核为不合格者，停止其研究生招生；累计三次考核为不合格者，取消其导师资格，需重新按照导师遴选办法参加导师资格遴选</w:t>
      </w:r>
      <w:r>
        <w:rPr>
          <w:rFonts w:hint="eastAsia" w:ascii="宋体" w:hAnsi="宋体" w:eastAsia="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三</w:t>
      </w:r>
      <w:r>
        <w:rPr>
          <w:rFonts w:hint="eastAsia" w:ascii="宋体" w:hAnsi="宋体" w:eastAsia="宋体"/>
          <w:sz w:val="28"/>
          <w:szCs w:val="28"/>
          <w:highlight w:val="none"/>
          <w:lang w:eastAsia="zh-CN"/>
        </w:rPr>
        <w:t>）</w:t>
      </w:r>
      <w:r>
        <w:rPr>
          <w:rFonts w:hint="eastAsia" w:ascii="宋体" w:hAnsi="宋体" w:eastAsia="宋体"/>
          <w:sz w:val="28"/>
          <w:szCs w:val="28"/>
          <w:highlight w:val="none"/>
        </w:rPr>
        <w:t>培养条件建设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1.科研平台建设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加大投入力度，建设了一批高水平科研平台和实验室，为研究生开展科学研究提供了良好条件。</w:t>
      </w:r>
      <w:r>
        <w:rPr>
          <w:rFonts w:hint="eastAsia" w:ascii="宋体" w:hAnsi="宋体" w:eastAsia="宋体"/>
          <w:sz w:val="28"/>
          <w:szCs w:val="28"/>
          <w:highlight w:val="none"/>
          <w:lang w:val="en-US" w:eastAsia="zh-CN"/>
        </w:rPr>
        <w:t>学位点现拥有国家医学中心（中医类）、国家中医药传承创新中心、国家区域中医（专科）诊疗中心、国家中医临床教学培训示范中心、国家中医药国际合作交流基地、国家中医临床研究基地、国家中医住院医师规范化培训示范基地等多个国家级平台；拥有省部共建协同创新中心1个，国家临床重点专科（中医类）12个、国家中医药管理局重点学科14个、国家中医药管理局重点专科28个、河南省中医重点专科23个、河南省重点学科25个；河南省重点实验室5个、河南省国际联合实验室3个、河南省工程研究中心12个、河南省工程技术研究中心4个，</w:t>
      </w:r>
      <w:r>
        <w:rPr>
          <w:rFonts w:hint="eastAsia" w:ascii="宋体" w:hAnsi="宋体" w:eastAsia="宋体"/>
          <w:sz w:val="28"/>
          <w:szCs w:val="28"/>
          <w:highlight w:val="none"/>
        </w:rPr>
        <w:t>为研究生实践能力培养提供了有力支撑。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w:t>
      </w:r>
      <w:r>
        <w:rPr>
          <w:rFonts w:hint="eastAsia" w:ascii="宋体" w:hAnsi="宋体" w:eastAsia="宋体"/>
          <w:sz w:val="28"/>
          <w:szCs w:val="28"/>
          <w:highlight w:val="none"/>
        </w:rPr>
        <w:t>教学设施</w:t>
      </w:r>
      <w:r>
        <w:rPr>
          <w:rFonts w:hint="eastAsia" w:ascii="宋体" w:hAnsi="宋体" w:eastAsia="宋体"/>
          <w:sz w:val="28"/>
          <w:szCs w:val="28"/>
          <w:highlight w:val="none"/>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课堂教学方面，我校建有虚拟仿真实验教学空间，被认定为“河南省本科高等学校智慧教学建设示范校”，营造一个现代化、高效全面的学习环境。实验教学方面，学位点拥有多种大型仪器设备，建有河南省高等学校实验教学示范中心—中医学实验教学示范中心，实验室总面积达到15601m</w:t>
      </w:r>
      <w:r>
        <w:rPr>
          <w:rFonts w:hint="eastAsia" w:ascii="宋体" w:hAnsi="宋体" w:eastAsia="宋体"/>
          <w:sz w:val="28"/>
          <w:szCs w:val="28"/>
          <w:highlight w:val="none"/>
          <w:vertAlign w:val="superscript"/>
        </w:rPr>
        <w:t>2</w:t>
      </w:r>
      <w:r>
        <w:rPr>
          <w:rFonts w:hint="eastAsia" w:ascii="宋体" w:hAnsi="宋体" w:eastAsia="宋体"/>
          <w:sz w:val="28"/>
          <w:szCs w:val="28"/>
          <w:highlight w:val="none"/>
        </w:rPr>
        <w:t>，仪器设备总值4.2亿元，保障了完备的</w:t>
      </w:r>
      <w:r>
        <w:rPr>
          <w:rFonts w:hint="eastAsia" w:ascii="宋体" w:hAnsi="宋体" w:eastAsia="宋体"/>
          <w:sz w:val="28"/>
          <w:szCs w:val="28"/>
          <w:highlight w:val="none"/>
          <w:lang w:val="en-US" w:eastAsia="zh-CN"/>
        </w:rPr>
        <w:t>实验教学</w:t>
      </w:r>
      <w:r>
        <w:rPr>
          <w:rFonts w:hint="eastAsia" w:ascii="宋体" w:hAnsi="宋体" w:eastAsia="宋体"/>
          <w:sz w:val="28"/>
          <w:szCs w:val="28"/>
          <w:highlight w:val="none"/>
        </w:rPr>
        <w:t>环境。临床教学方面，拥有三所附属医院作为临床教学资源，设置床位8957张，其中研究型病床200张，可充分满足实践教学需求。学术资源方面，学校图书馆面积3.04万m</w:t>
      </w:r>
      <w:r>
        <w:rPr>
          <w:rFonts w:hint="eastAsia" w:ascii="宋体" w:hAnsi="宋体" w:eastAsia="宋体"/>
          <w:sz w:val="28"/>
          <w:szCs w:val="28"/>
          <w:highlight w:val="none"/>
          <w:vertAlign w:val="superscript"/>
        </w:rPr>
        <w:t>2</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拥有</w:t>
      </w:r>
      <w:r>
        <w:rPr>
          <w:rFonts w:hint="eastAsia" w:ascii="宋体" w:hAnsi="宋体" w:eastAsia="宋体"/>
          <w:sz w:val="28"/>
          <w:szCs w:val="28"/>
          <w:highlight w:val="none"/>
        </w:rPr>
        <w:t>纸质藏书21</w:t>
      </w:r>
      <w:r>
        <w:rPr>
          <w:rFonts w:hint="eastAsia" w:ascii="宋体" w:hAnsi="宋体" w:eastAsia="宋体"/>
          <w:sz w:val="28"/>
          <w:szCs w:val="28"/>
          <w:highlight w:val="none"/>
          <w:lang w:val="en-US" w:eastAsia="zh-CN"/>
        </w:rPr>
        <w:t>5</w:t>
      </w:r>
      <w:r>
        <w:rPr>
          <w:rFonts w:hint="eastAsia" w:ascii="宋体" w:hAnsi="宋体" w:eastAsia="宋体"/>
          <w:sz w:val="28"/>
          <w:szCs w:val="28"/>
          <w:highlight w:val="none"/>
        </w:rPr>
        <w:t>万册，电子图书16</w:t>
      </w:r>
      <w:r>
        <w:rPr>
          <w:rFonts w:hint="eastAsia" w:ascii="宋体" w:hAnsi="宋体" w:eastAsia="宋体"/>
          <w:sz w:val="28"/>
          <w:szCs w:val="28"/>
          <w:highlight w:val="none"/>
          <w:lang w:val="en-US" w:eastAsia="zh-CN"/>
        </w:rPr>
        <w:t>7.3</w:t>
      </w:r>
      <w:r>
        <w:rPr>
          <w:rFonts w:hint="eastAsia" w:ascii="宋体" w:hAnsi="宋体" w:eastAsia="宋体"/>
          <w:sz w:val="28"/>
          <w:szCs w:val="28"/>
          <w:highlight w:val="none"/>
        </w:rPr>
        <w:t>万册，中外文数据库97种，共386</w:t>
      </w:r>
      <w:r>
        <w:rPr>
          <w:rFonts w:hint="eastAsia" w:ascii="宋体" w:hAnsi="宋体" w:eastAsia="宋体"/>
          <w:sz w:val="28"/>
          <w:szCs w:val="28"/>
          <w:highlight w:val="none"/>
          <w:lang w:val="en-US" w:eastAsia="zh-CN"/>
        </w:rPr>
        <w:t>1</w:t>
      </w:r>
      <w:bookmarkStart w:id="14" w:name="_GoBack"/>
      <w:bookmarkEnd w:id="14"/>
      <w:r>
        <w:rPr>
          <w:rFonts w:hint="eastAsia" w:ascii="宋体" w:hAnsi="宋体" w:eastAsia="宋体"/>
          <w:sz w:val="28"/>
          <w:szCs w:val="28"/>
          <w:highlight w:val="none"/>
        </w:rPr>
        <w:t>种中外文期刊。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yellow"/>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四</w:t>
      </w:r>
      <w:r>
        <w:rPr>
          <w:rFonts w:hint="eastAsia" w:ascii="宋体" w:hAnsi="宋体" w:eastAsia="宋体"/>
          <w:sz w:val="28"/>
          <w:szCs w:val="28"/>
          <w:highlight w:val="none"/>
          <w:lang w:eastAsia="zh-CN"/>
        </w:rPr>
        <w:t>）</w:t>
      </w:r>
      <w:r>
        <w:rPr>
          <w:rFonts w:hint="eastAsia" w:ascii="宋体" w:hAnsi="宋体" w:eastAsia="宋体"/>
          <w:sz w:val="28"/>
          <w:szCs w:val="28"/>
          <w:highlight w:val="none"/>
        </w:rPr>
        <w:t>科学研究工作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2024年</w:t>
      </w:r>
      <w:r>
        <w:rPr>
          <w:rFonts w:hint="eastAsia" w:ascii="宋体" w:hAnsi="宋体" w:eastAsia="宋体"/>
          <w:color w:val="auto"/>
          <w:sz w:val="28"/>
          <w:szCs w:val="28"/>
          <w:highlight w:val="none"/>
        </w:rPr>
        <w:t>学位点建设期间，共获批纵向科研项目</w:t>
      </w:r>
      <w:r>
        <w:rPr>
          <w:rFonts w:hint="eastAsia" w:ascii="宋体" w:hAnsi="宋体" w:eastAsia="宋体"/>
          <w:color w:val="auto"/>
          <w:sz w:val="28"/>
          <w:szCs w:val="28"/>
          <w:highlight w:val="none"/>
          <w:lang w:val="en-US" w:eastAsia="zh-CN"/>
        </w:rPr>
        <w:t>202</w:t>
      </w:r>
      <w:r>
        <w:rPr>
          <w:rFonts w:hint="eastAsia" w:ascii="宋体" w:hAnsi="宋体" w:eastAsia="宋体"/>
          <w:color w:val="auto"/>
          <w:sz w:val="28"/>
          <w:szCs w:val="28"/>
          <w:highlight w:val="none"/>
        </w:rPr>
        <w:t>项（其中国家级项目</w:t>
      </w:r>
      <w:r>
        <w:rPr>
          <w:rFonts w:hint="eastAsia" w:ascii="宋体" w:hAnsi="宋体" w:eastAsia="宋体"/>
          <w:color w:val="auto"/>
          <w:sz w:val="28"/>
          <w:szCs w:val="28"/>
          <w:highlight w:val="none"/>
          <w:lang w:val="en-US" w:eastAsia="zh-CN"/>
        </w:rPr>
        <w:t>32</w:t>
      </w:r>
      <w:r>
        <w:rPr>
          <w:rFonts w:hint="eastAsia" w:ascii="宋体" w:hAnsi="宋体" w:eastAsia="宋体"/>
          <w:color w:val="auto"/>
          <w:sz w:val="28"/>
          <w:szCs w:val="28"/>
          <w:highlight w:val="none"/>
        </w:rPr>
        <w:t>项，包含</w:t>
      </w:r>
      <w:r>
        <w:rPr>
          <w:rFonts w:hint="eastAsia" w:ascii="宋体" w:hAnsi="宋体" w:eastAsia="宋体"/>
          <w:color w:val="auto"/>
          <w:sz w:val="28"/>
          <w:szCs w:val="28"/>
          <w:highlight w:val="none"/>
          <w:lang w:val="en-US" w:eastAsia="zh-CN"/>
        </w:rPr>
        <w:t>3</w:t>
      </w:r>
      <w:r>
        <w:rPr>
          <w:rFonts w:hint="eastAsia" w:ascii="宋体" w:hAnsi="宋体" w:eastAsia="宋体"/>
          <w:color w:val="auto"/>
          <w:sz w:val="28"/>
          <w:szCs w:val="28"/>
          <w:highlight w:val="none"/>
        </w:rPr>
        <w:t>项国家重大专项），总经费</w:t>
      </w:r>
      <w:r>
        <w:rPr>
          <w:rFonts w:hint="eastAsia" w:ascii="宋体" w:hAnsi="宋体" w:eastAsia="宋体"/>
          <w:color w:val="auto"/>
          <w:sz w:val="28"/>
          <w:szCs w:val="28"/>
          <w:highlight w:val="none"/>
          <w:lang w:val="en-US" w:eastAsia="zh-CN"/>
        </w:rPr>
        <w:t>9367.3万元</w:t>
      </w:r>
      <w:r>
        <w:rPr>
          <w:rFonts w:hint="eastAsia" w:ascii="宋体" w:hAnsi="宋体" w:eastAsia="宋体"/>
          <w:color w:val="auto"/>
          <w:sz w:val="28"/>
          <w:szCs w:val="28"/>
          <w:highlight w:val="none"/>
        </w:rPr>
        <w:t>；横向课题总经费</w:t>
      </w:r>
      <w:r>
        <w:rPr>
          <w:rFonts w:hint="eastAsia" w:ascii="宋体" w:hAnsi="宋体" w:eastAsia="宋体" w:cs="宋体"/>
          <w:color w:val="000000"/>
          <w:kern w:val="0"/>
          <w:sz w:val="28"/>
          <w:szCs w:val="28"/>
          <w:highlight w:val="none"/>
          <w:lang w:val="en-US" w:eastAsia="zh-CN" w:bidi="ar"/>
        </w:rPr>
        <w:t>406.24</w:t>
      </w:r>
      <w:r>
        <w:rPr>
          <w:rFonts w:hint="eastAsia" w:ascii="宋体" w:hAnsi="宋体" w:eastAsia="宋体"/>
          <w:color w:val="auto"/>
          <w:sz w:val="28"/>
          <w:szCs w:val="28"/>
          <w:highlight w:val="none"/>
          <w:lang w:val="en-US" w:eastAsia="zh-CN"/>
        </w:rPr>
        <w:t>万元</w:t>
      </w:r>
      <w:r>
        <w:rPr>
          <w:rFonts w:hint="eastAsia" w:ascii="宋体" w:hAnsi="宋体" w:eastAsia="宋体"/>
          <w:color w:val="auto"/>
          <w:sz w:val="28"/>
          <w:szCs w:val="28"/>
          <w:highlight w:val="none"/>
        </w:rPr>
        <w:t>；各类科研奖励共</w:t>
      </w:r>
      <w:r>
        <w:rPr>
          <w:rFonts w:hint="eastAsia" w:ascii="宋体" w:hAnsi="宋体" w:eastAsia="宋体"/>
          <w:color w:val="auto"/>
          <w:sz w:val="28"/>
          <w:szCs w:val="28"/>
          <w:highlight w:val="none"/>
          <w:lang w:val="en-US" w:eastAsia="zh-CN"/>
        </w:rPr>
        <w:t>69</w:t>
      </w:r>
      <w:r>
        <w:rPr>
          <w:rFonts w:hint="eastAsia" w:ascii="宋体" w:hAnsi="宋体" w:eastAsia="宋体"/>
          <w:color w:val="auto"/>
          <w:sz w:val="28"/>
          <w:szCs w:val="28"/>
          <w:highlight w:val="none"/>
        </w:rPr>
        <w:t>项。研究生积极参与国家级、省部级科研项目，发表高水平学术论文</w:t>
      </w:r>
      <w:r>
        <w:rPr>
          <w:rFonts w:hint="eastAsia" w:ascii="宋体" w:hAnsi="宋体" w:eastAsia="宋体"/>
          <w:color w:val="auto"/>
          <w:sz w:val="28"/>
          <w:szCs w:val="28"/>
          <w:highlight w:val="none"/>
          <w:lang w:val="en-US" w:eastAsia="zh-CN"/>
        </w:rPr>
        <w:t>71</w:t>
      </w:r>
      <w:r>
        <w:rPr>
          <w:rFonts w:hint="eastAsia" w:ascii="宋体" w:hAnsi="宋体" w:eastAsia="宋体"/>
          <w:color w:val="auto"/>
          <w:sz w:val="28"/>
          <w:szCs w:val="28"/>
          <w:highlight w:val="none"/>
        </w:rPr>
        <w:t>篇，其中SCI/EI收录论文（填写具体数量）</w:t>
      </w:r>
      <w:r>
        <w:rPr>
          <w:rFonts w:hint="eastAsia" w:ascii="宋体" w:hAnsi="宋体" w:eastAsia="宋体"/>
          <w:color w:val="auto"/>
          <w:sz w:val="28"/>
          <w:szCs w:val="28"/>
          <w:highlight w:val="none"/>
          <w:lang w:val="en-US" w:eastAsia="zh-CN"/>
        </w:rPr>
        <w:t>18</w:t>
      </w:r>
      <w:r>
        <w:rPr>
          <w:rFonts w:hint="eastAsia" w:ascii="宋体" w:hAnsi="宋体" w:eastAsia="宋体"/>
          <w:color w:val="auto"/>
          <w:sz w:val="28"/>
          <w:szCs w:val="28"/>
          <w:highlight w:val="none"/>
        </w:rPr>
        <w:t>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五</w:t>
      </w:r>
      <w:r>
        <w:rPr>
          <w:rFonts w:hint="eastAsia" w:ascii="宋体" w:hAnsi="宋体" w:eastAsia="宋体"/>
          <w:sz w:val="28"/>
          <w:szCs w:val="28"/>
          <w:highlight w:val="none"/>
          <w:lang w:eastAsia="zh-CN"/>
        </w:rPr>
        <w:t>）</w:t>
      </w:r>
      <w:r>
        <w:rPr>
          <w:rFonts w:hint="eastAsia" w:ascii="宋体" w:hAnsi="宋体" w:eastAsia="宋体"/>
          <w:sz w:val="28"/>
          <w:szCs w:val="28"/>
          <w:highlight w:val="none"/>
        </w:rPr>
        <w:t>招生与培养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1.招生选拔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优化招生选拔机制，生源质量稳步提升，</w:t>
      </w:r>
      <w:r>
        <w:rPr>
          <w:rFonts w:hint="eastAsia" w:ascii="宋体" w:hAnsi="宋体" w:eastAsia="宋体"/>
          <w:color w:val="auto"/>
          <w:sz w:val="28"/>
          <w:szCs w:val="28"/>
          <w:highlight w:val="none"/>
        </w:rPr>
        <w:t>2024年录取研究生</w:t>
      </w:r>
      <w:bookmarkStart w:id="5" w:name="OLE_LINK7"/>
      <w:r>
        <w:rPr>
          <w:rFonts w:hint="eastAsia" w:ascii="宋体" w:hAnsi="宋体" w:eastAsia="宋体"/>
          <w:color w:val="auto"/>
          <w:sz w:val="28"/>
          <w:szCs w:val="28"/>
          <w:highlight w:val="none"/>
          <w:lang w:val="en-US" w:eastAsia="zh-CN"/>
        </w:rPr>
        <w:t>19</w:t>
      </w:r>
      <w:r>
        <w:rPr>
          <w:rFonts w:hint="eastAsia" w:ascii="宋体" w:hAnsi="宋体" w:eastAsia="宋体"/>
          <w:color w:val="auto"/>
          <w:sz w:val="28"/>
          <w:szCs w:val="28"/>
          <w:highlight w:val="none"/>
        </w:rPr>
        <w:t>人，</w:t>
      </w:r>
      <w:bookmarkEnd w:id="5"/>
      <w:r>
        <w:rPr>
          <w:rFonts w:hint="eastAsia" w:ascii="宋体" w:hAnsi="宋体" w:eastAsia="宋体"/>
          <w:color w:val="auto"/>
          <w:sz w:val="28"/>
          <w:szCs w:val="28"/>
          <w:highlight w:val="none"/>
          <w:lang w:val="en-US" w:eastAsia="zh-CN"/>
        </w:rPr>
        <w:t>授予学位11</w:t>
      </w:r>
      <w:r>
        <w:rPr>
          <w:rFonts w:hint="eastAsia" w:ascii="宋体" w:hAnsi="宋体" w:eastAsia="宋体"/>
          <w:color w:val="auto"/>
          <w:sz w:val="28"/>
          <w:szCs w:val="28"/>
          <w:highlight w:val="none"/>
        </w:rPr>
        <w:t>人。</w:t>
      </w:r>
      <w:r>
        <w:rPr>
          <w:rFonts w:hint="eastAsia" w:ascii="宋体" w:hAnsi="宋体" w:eastAsia="宋体"/>
          <w:sz w:val="28"/>
          <w:szCs w:val="28"/>
          <w:highlight w:val="none"/>
          <w:lang w:val="en-US" w:eastAsia="zh-CN"/>
        </w:rPr>
        <w:t>在</w:t>
      </w:r>
      <w:r>
        <w:rPr>
          <w:rFonts w:hint="eastAsia" w:ascii="宋体" w:hAnsi="宋体" w:eastAsia="宋体"/>
          <w:sz w:val="28"/>
          <w:szCs w:val="28"/>
          <w:highlight w:val="none"/>
        </w:rPr>
        <w:t>生源质量控制</w:t>
      </w:r>
      <w:r>
        <w:rPr>
          <w:rFonts w:hint="eastAsia" w:ascii="宋体" w:hAnsi="宋体" w:eastAsia="宋体"/>
          <w:sz w:val="28"/>
          <w:szCs w:val="28"/>
          <w:highlight w:val="none"/>
          <w:lang w:val="en-US" w:eastAsia="zh-CN"/>
        </w:rPr>
        <w:t>方面，</w:t>
      </w:r>
      <w:r>
        <w:rPr>
          <w:rFonts w:hint="eastAsia" w:ascii="宋体" w:hAnsi="宋体" w:eastAsia="宋体"/>
          <w:sz w:val="28"/>
          <w:szCs w:val="28"/>
          <w:highlight w:val="none"/>
        </w:rPr>
        <w:t>采用了“申请-考核”制</w:t>
      </w:r>
      <w:r>
        <w:rPr>
          <w:rFonts w:hint="eastAsia" w:ascii="宋体" w:hAnsi="宋体" w:eastAsia="宋体"/>
          <w:sz w:val="28"/>
          <w:szCs w:val="28"/>
          <w:highlight w:val="none"/>
          <w:lang w:val="en-US" w:eastAsia="zh-CN"/>
        </w:rPr>
        <w:t>、</w:t>
      </w:r>
      <w:r>
        <w:rPr>
          <w:rFonts w:hint="eastAsia" w:ascii="宋体" w:hAnsi="宋体" w:eastAsia="宋体"/>
          <w:sz w:val="28"/>
          <w:szCs w:val="28"/>
          <w:highlight w:val="none"/>
        </w:rPr>
        <w:t>统招</w:t>
      </w:r>
      <w:r>
        <w:rPr>
          <w:rFonts w:hint="eastAsia" w:ascii="宋体" w:hAnsi="宋体" w:eastAsia="宋体"/>
          <w:sz w:val="28"/>
          <w:szCs w:val="28"/>
          <w:highlight w:val="none"/>
          <w:lang w:val="en-US" w:eastAsia="zh-CN"/>
        </w:rPr>
        <w:t>和</w:t>
      </w:r>
      <w:r>
        <w:rPr>
          <w:rFonts w:hint="eastAsia" w:ascii="宋体" w:hAnsi="宋体" w:eastAsia="宋体"/>
          <w:sz w:val="28"/>
          <w:szCs w:val="28"/>
          <w:highlight w:val="none"/>
        </w:rPr>
        <w:t>“优秀直博生”并行</w:t>
      </w:r>
      <w:r>
        <w:rPr>
          <w:rFonts w:hint="eastAsia" w:ascii="宋体" w:hAnsi="宋体" w:eastAsia="宋体"/>
          <w:sz w:val="28"/>
          <w:szCs w:val="28"/>
          <w:highlight w:val="none"/>
          <w:lang w:val="en-US" w:eastAsia="zh-CN"/>
        </w:rPr>
        <w:t>的选拔</w:t>
      </w:r>
      <w:r>
        <w:rPr>
          <w:rFonts w:hint="eastAsia" w:ascii="宋体" w:hAnsi="宋体" w:eastAsia="宋体"/>
          <w:sz w:val="28"/>
          <w:szCs w:val="28"/>
          <w:highlight w:val="none"/>
        </w:rPr>
        <w:t>机制，</w:t>
      </w:r>
      <w:r>
        <w:rPr>
          <w:rFonts w:hint="eastAsia" w:ascii="宋体" w:hAnsi="宋体" w:eastAsia="宋体"/>
          <w:sz w:val="28"/>
          <w:szCs w:val="28"/>
          <w:highlight w:val="none"/>
          <w:lang w:val="en-US" w:eastAsia="zh-CN"/>
        </w:rPr>
        <w:t>进一步</w:t>
      </w:r>
      <w:r>
        <w:rPr>
          <w:rFonts w:hint="eastAsia" w:ascii="宋体" w:hAnsi="宋体" w:eastAsia="宋体"/>
          <w:sz w:val="28"/>
          <w:szCs w:val="28"/>
          <w:highlight w:val="none"/>
        </w:rPr>
        <w:t>优化选拔形式</w:t>
      </w:r>
      <w:r>
        <w:rPr>
          <w:rFonts w:hint="eastAsia" w:ascii="宋体" w:hAnsi="宋体" w:eastAsia="宋体"/>
          <w:sz w:val="28"/>
          <w:szCs w:val="28"/>
          <w:highlight w:val="none"/>
          <w:lang w:eastAsia="zh-CN"/>
        </w:rPr>
        <w:t>。</w:t>
      </w:r>
      <w:r>
        <w:rPr>
          <w:rFonts w:hint="eastAsia" w:ascii="宋体" w:hAnsi="宋体" w:eastAsia="宋体"/>
          <w:sz w:val="28"/>
          <w:szCs w:val="28"/>
          <w:highlight w:val="none"/>
        </w:rPr>
        <w:t>注重科研素质考核，确保招生质量</w:t>
      </w:r>
      <w:r>
        <w:rPr>
          <w:rFonts w:hint="eastAsia" w:ascii="宋体" w:hAnsi="宋体" w:eastAsia="宋体"/>
          <w:sz w:val="28"/>
          <w:szCs w:val="28"/>
          <w:highlight w:val="none"/>
          <w:lang w:eastAsia="zh-CN"/>
        </w:rPr>
        <w:t>，</w:t>
      </w:r>
      <w:r>
        <w:rPr>
          <w:rFonts w:hint="eastAsia" w:ascii="宋体" w:hAnsi="宋体" w:eastAsia="宋体"/>
          <w:sz w:val="28"/>
          <w:szCs w:val="28"/>
          <w:highlight w:val="none"/>
        </w:rPr>
        <w:t>细致审查考生提交的科研计划书以及科研经历，并通过推荐信、个人陈述、面试表现等多种渠道</w:t>
      </w:r>
      <w:r>
        <w:rPr>
          <w:rFonts w:hint="eastAsia" w:ascii="宋体" w:hAnsi="宋体" w:eastAsia="宋体"/>
          <w:sz w:val="28"/>
          <w:szCs w:val="28"/>
          <w:highlight w:val="none"/>
          <w:lang w:eastAsia="zh-CN"/>
        </w:rPr>
        <w:t>，</w:t>
      </w:r>
      <w:r>
        <w:rPr>
          <w:rFonts w:hint="eastAsia" w:ascii="宋体" w:hAnsi="宋体" w:eastAsia="宋体"/>
          <w:sz w:val="28"/>
          <w:szCs w:val="28"/>
          <w:highlight w:val="none"/>
        </w:rPr>
        <w:t>全面评估考生的学术背景、科研潜力、创新能力</w:t>
      </w:r>
      <w:r>
        <w:rPr>
          <w:rFonts w:hint="eastAsia" w:ascii="宋体" w:hAnsi="宋体" w:eastAsia="宋体"/>
          <w:sz w:val="28"/>
          <w:szCs w:val="28"/>
          <w:highlight w:val="none"/>
          <w:lang w:eastAsia="zh-CN"/>
        </w:rPr>
        <w:t>。</w:t>
      </w:r>
      <w:r>
        <w:rPr>
          <w:rFonts w:hint="eastAsia" w:ascii="宋体" w:hAnsi="宋体" w:eastAsia="宋体"/>
          <w:sz w:val="28"/>
          <w:szCs w:val="28"/>
          <w:highlight w:val="none"/>
        </w:rPr>
        <w:t>加强招生宣传力度，拓宽生源渠道。通过校内外考研咨询会、互联网和新媒体平台，提高学校的知名度和吸引力；积极与国内外高水平大学合作，联合培养博士研究生，吸引更多优秀学子报考我校。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2.人才培养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（1）课程教学</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val="en-US" w:eastAsia="zh-CN"/>
        </w:rPr>
      </w:pPr>
      <w:r>
        <w:rPr>
          <w:rFonts w:hint="eastAsia" w:ascii="宋体" w:hAnsi="宋体" w:eastAsia="宋体"/>
          <w:b/>
          <w:bCs/>
          <w:sz w:val="28"/>
          <w:szCs w:val="28"/>
          <w:highlight w:val="none"/>
          <w:lang w:val="en-US" w:eastAsia="zh-CN"/>
        </w:rPr>
        <w:t>合理设置课程结构，规范课程管理与安排</w:t>
      </w:r>
      <w:r>
        <w:rPr>
          <w:rFonts w:hint="eastAsia" w:ascii="宋体" w:hAnsi="宋体" w:eastAsia="宋体"/>
          <w:sz w:val="28"/>
          <w:szCs w:val="28"/>
          <w:highlight w:val="none"/>
          <w:lang w:val="en-US" w:eastAsia="zh-CN"/>
        </w:rPr>
        <w:t>。①课程结构上，根据国家教育方针和学位培养要求，优化课程结构，提高了课程质量。开设《高级医用英语》《中医药科技创新思路与方法》《中医药科技创新思路与方法》3门公共课，《名家学术与临床》《循证医学概论》等4门专业基础课，《中医内科学临床研究》《中医儿科学临床研究》等13门专业课，并设置50门选修课，课程结构合理，在基础理论授课基础上结合各专业特点巩固、扩大和加深基础知识，使学生学会综合利用基础知识去独立解决问题。②课程安排上，每门课程成立授课小组，共同制定课程大纲及授课计划等教学内容，以保持教学内容的更新与活力。</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val="en-US" w:eastAsia="zh-CN"/>
        </w:rPr>
      </w:pPr>
      <w:r>
        <w:rPr>
          <w:rFonts w:hint="eastAsia" w:ascii="宋体" w:hAnsi="宋体" w:eastAsia="宋体"/>
          <w:b/>
          <w:bCs/>
          <w:sz w:val="28"/>
          <w:szCs w:val="28"/>
          <w:highlight w:val="none"/>
          <w:lang w:val="en-US" w:eastAsia="zh-CN"/>
        </w:rPr>
        <w:t>全面规划研究生课程教学，确保课程高质量实施</w:t>
      </w:r>
      <w:r>
        <w:rPr>
          <w:rFonts w:hint="eastAsia" w:ascii="宋体" w:hAnsi="宋体" w:eastAsia="宋体"/>
          <w:sz w:val="28"/>
          <w:szCs w:val="28"/>
          <w:highlight w:val="none"/>
          <w:lang w:val="en-US" w:eastAsia="zh-CN"/>
        </w:rPr>
        <w:t xml:space="preserve">。①构建完善的课程体系，聚焦前沿动态：结合学科前沿和实际需求，设计涵盖基础理论、专业技能和综合素质提升的课程体系。授课内容选取当前研究热点、新兴技术或理论进展作为专题；鼓励教师将自身最新科研成果融入教学，形成科研反哺教学的局面。②专家授课，提升教学权威性：推行教授、名家名师进课堂，要求国医大师、全国名中医、岐黄学者等高层次专家参与课程授课，授课教师正高级职称占比在90%以上。③反馈优化，严格质量监控：结合研究生:学习特点和课程性质，灵活运用讲授法、互动教学、研讨小组、翻转课堂等教学方法，激发学生学习兴趣和主动性。每学期组织听课、一线教师座谈会及评教（校外专家、大学、院系、学生评教），并将评教结果纳入导师考核，全面把控课程质量。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val="en-US" w:eastAsia="zh-CN"/>
        </w:rPr>
      </w:pPr>
      <w:r>
        <w:rPr>
          <w:rFonts w:hint="eastAsia" w:ascii="宋体" w:hAnsi="宋体" w:eastAsia="宋体"/>
          <w:b/>
          <w:bCs/>
          <w:sz w:val="28"/>
          <w:szCs w:val="28"/>
          <w:highlight w:val="none"/>
          <w:lang w:val="en-US" w:eastAsia="zh-CN"/>
        </w:rPr>
        <w:t>以教学成果奖和规划教材为引领，深化研究生课程教学改革</w:t>
      </w:r>
      <w:r>
        <w:rPr>
          <w:rFonts w:hint="eastAsia" w:ascii="宋体" w:hAnsi="宋体" w:eastAsia="宋体"/>
          <w:sz w:val="28"/>
          <w:szCs w:val="28"/>
          <w:highlight w:val="none"/>
          <w:lang w:val="en-US" w:eastAsia="zh-CN"/>
        </w:rPr>
        <w:t>。2024年我校在河南省高等教育教学成果奖中再获佳绩，获得河南省高等教育教学成果奖 12项，其中一等奖5项，二等奖7项，获奖项目涵盖了教育教学改革的多个方面，如教师队伍构建、思政育人体系探索、人才创新培养模式等。充分发挥获奖项目示范引领作用，通过实践—理论—再实践的方式，将先进的教学与管理理念、有效的教学方法和手段、优质的课程和教材应用到人才培养过程中。加大获奖成果推广应用，通过优秀成果展示、专题研讨等多种形式，宣传推广经验做法，发挥了成果奖的示范辐射作用。河南省高等教育教学成果奖的评选成为了推动我校教育教学改革、提升人才培养质量的重要动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2024年以国家规划教材申报为契机，提升研究生教育综合能力，学位点通过多部教材编写邀请行业内专家学者、一线教师与教育工作者携手共进，经过反复研讨、深度调研、精心打磨，将最新教育理念、前沿知识与实践经验。编写内容凝聚具有深远影响力的教材不断努力。1月，我校承办的“全国中医药研究生核心课程规划教材中医药科研思路与方法（中医学分册）编写，邀请中国中医药出版社责任编辑李艳玲主任、李春主任及主编李建生教授、主编温成平教授等三十多位来自全国各地的专家学者。6月，李建生教授主编的“全国中医药研究生核心课程规划教材—中医药科研思路与方法（中医学分册）定稿会”在郑州顺利召开。7月，我校承办的“十四五”普通高等教育研究生规划教材《中西医结合内科学研究进展》《中医肺病学研究进展》教材编写会分别邀请申国明教授、于雪峰教授等六十余位专家学者为整体编写工作提供指导。8月，我校朱明军教授主编的《中西医结合临床诊疗思路》教材定稿会在长沙召开，来自全国25所高校以及科研院所的40余名专家学者参与。上述会议为进一步保质保量完成教材出版，提升研究生教育综合能力，不断深化研究生教育教学改革、积极推进学位点建设，提升研究生教学水平打下坚实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3</w:t>
      </w:r>
      <w:r>
        <w:rPr>
          <w:rFonts w:hint="eastAsia" w:ascii="宋体" w:hAnsi="宋体" w:eastAsia="宋体"/>
          <w:sz w:val="28"/>
          <w:szCs w:val="28"/>
          <w:highlight w:val="none"/>
          <w:lang w:eastAsia="zh-CN"/>
        </w:rPr>
        <w:t>）</w:t>
      </w:r>
      <w:r>
        <w:rPr>
          <w:rFonts w:hint="eastAsia" w:ascii="宋体" w:hAnsi="宋体" w:eastAsia="宋体"/>
          <w:sz w:val="28"/>
          <w:szCs w:val="28"/>
          <w:highlight w:val="none"/>
        </w:rPr>
        <w:t>学术训练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课程建设：构建系统化的科研思路方法教育体系，将科研训练和学术规范纳入研究生培养方案，开设《循证医学概论》《中医药科研思路与方法》《中医药科技创新思路与方法》《循证中医药临床研究方法》《医学信息学》等相关课程，采用启发式、讨论式等教学方式，激发学生的学习兴趣和创新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default" w:ascii="宋体" w:hAnsi="宋体" w:eastAsia="宋体"/>
          <w:sz w:val="28"/>
          <w:szCs w:val="28"/>
          <w:highlight w:val="none"/>
          <w:lang w:val="en-US" w:eastAsia="zh-CN"/>
        </w:rPr>
        <w:t>文献阅读：鼓励研究生广泛阅读高水平专业文献，积累知识，拓展视野。</w:t>
      </w:r>
      <w:r>
        <w:rPr>
          <w:rFonts w:hint="eastAsia" w:ascii="宋体" w:hAnsi="宋体" w:eastAsia="宋体"/>
          <w:sz w:val="28"/>
          <w:szCs w:val="28"/>
          <w:highlight w:val="none"/>
          <w:lang w:val="en-US" w:eastAsia="zh-CN"/>
        </w:rPr>
        <w:t>要求</w:t>
      </w:r>
      <w:r>
        <w:rPr>
          <w:rFonts w:hint="default" w:ascii="宋体" w:hAnsi="宋体" w:eastAsia="宋体"/>
          <w:sz w:val="28"/>
          <w:szCs w:val="28"/>
          <w:highlight w:val="none"/>
          <w:lang w:val="en-US" w:eastAsia="zh-CN"/>
        </w:rPr>
        <w:t>导师</w:t>
      </w:r>
      <w:r>
        <w:rPr>
          <w:rFonts w:hint="eastAsia" w:ascii="宋体" w:hAnsi="宋体" w:eastAsia="宋体"/>
          <w:sz w:val="28"/>
          <w:szCs w:val="28"/>
          <w:highlight w:val="none"/>
          <w:lang w:val="en-US" w:eastAsia="zh-CN"/>
        </w:rPr>
        <w:t>每两周</w:t>
      </w:r>
      <w:r>
        <w:rPr>
          <w:rFonts w:hint="default" w:ascii="宋体" w:hAnsi="宋体" w:eastAsia="宋体"/>
          <w:sz w:val="28"/>
          <w:szCs w:val="28"/>
          <w:highlight w:val="none"/>
          <w:lang w:val="en-US" w:eastAsia="zh-CN"/>
        </w:rPr>
        <w:t>指导学生阅读经典文献或最新研究，解答疑问。</w:t>
      </w:r>
      <w:r>
        <w:rPr>
          <w:rFonts w:hint="eastAsia" w:ascii="宋体" w:hAnsi="宋体" w:eastAsia="宋体"/>
          <w:sz w:val="28"/>
          <w:szCs w:val="28"/>
          <w:highlight w:val="none"/>
          <w:lang w:val="en-US" w:eastAsia="zh-CN"/>
        </w:rPr>
        <w:t>在</w:t>
      </w:r>
      <w:r>
        <w:rPr>
          <w:rFonts w:hint="default" w:ascii="宋体" w:hAnsi="宋体" w:eastAsia="宋体"/>
          <w:sz w:val="28"/>
          <w:szCs w:val="28"/>
          <w:highlight w:val="none"/>
          <w:lang w:val="en-US" w:eastAsia="zh-CN"/>
        </w:rPr>
        <w:t>组会中安排文献分享环节，学生轮流汇报阅读心得。</w:t>
      </w:r>
      <w:r>
        <w:rPr>
          <w:rFonts w:hint="eastAsia" w:ascii="宋体" w:hAnsi="宋体" w:eastAsia="宋体"/>
          <w:sz w:val="28"/>
          <w:szCs w:val="28"/>
          <w:highlight w:val="none"/>
          <w:lang w:val="en-US" w:eastAsia="zh-CN"/>
        </w:rPr>
        <w:t>2024年学位点建立</w:t>
      </w:r>
      <w:r>
        <w:rPr>
          <w:rFonts w:hint="default" w:ascii="宋体" w:hAnsi="宋体" w:eastAsia="宋体"/>
          <w:sz w:val="28"/>
          <w:szCs w:val="28"/>
          <w:highlight w:val="none"/>
          <w:lang w:val="en-US" w:eastAsia="zh-CN"/>
        </w:rPr>
        <w:t>学术写作工作坊，帮助学生将阅读成果转化为论文</w:t>
      </w:r>
      <w:r>
        <w:rPr>
          <w:rFonts w:hint="eastAsia" w:ascii="宋体" w:hAnsi="宋体" w:eastAsia="宋体"/>
          <w:sz w:val="28"/>
          <w:szCs w:val="28"/>
          <w:highlight w:val="none"/>
          <w:lang w:val="en-US" w:eastAsia="zh-CN"/>
        </w:rPr>
        <w:t>，</w:t>
      </w:r>
      <w:r>
        <w:rPr>
          <w:rFonts w:hint="default" w:ascii="宋体" w:hAnsi="宋体" w:eastAsia="宋体"/>
          <w:sz w:val="28"/>
          <w:szCs w:val="28"/>
          <w:highlight w:val="none"/>
          <w:lang w:val="en-US" w:eastAsia="zh-CN"/>
        </w:rPr>
        <w:t>邀请</w:t>
      </w:r>
      <w:r>
        <w:rPr>
          <w:rFonts w:hint="eastAsia" w:ascii="宋体" w:hAnsi="宋体" w:eastAsia="宋体"/>
          <w:sz w:val="28"/>
          <w:szCs w:val="28"/>
          <w:highlight w:val="none"/>
          <w:lang w:val="en-US" w:eastAsia="zh-CN"/>
        </w:rPr>
        <w:t>《中医学报》编辑部主任李华教授</w:t>
      </w:r>
      <w:r>
        <w:rPr>
          <w:rFonts w:hint="default" w:ascii="宋体" w:hAnsi="宋体" w:eastAsia="宋体"/>
          <w:sz w:val="28"/>
          <w:szCs w:val="28"/>
          <w:highlight w:val="none"/>
          <w:lang w:val="en-US" w:eastAsia="zh-CN"/>
        </w:rPr>
        <w:t>讲解论文写作与投稿技巧</w:t>
      </w:r>
      <w:r>
        <w:rPr>
          <w:rFonts w:hint="eastAsia" w:ascii="宋体" w:hAnsi="宋体" w:eastAsia="宋体"/>
          <w:sz w:val="28"/>
          <w:szCs w:val="28"/>
          <w:highlight w:val="none"/>
          <w:lang w:val="en-US" w:eastAsia="zh-CN"/>
        </w:rPr>
        <w:t>，针对性提升科研论文写作能力。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sz w:val="28"/>
          <w:szCs w:val="28"/>
          <w:highlight w:val="none"/>
          <w:lang w:val="en-US" w:eastAsia="zh-CN"/>
        </w:rPr>
      </w:pPr>
      <w:r>
        <w:rPr>
          <w:rFonts w:hint="default" w:ascii="宋体" w:hAnsi="宋体" w:eastAsia="宋体"/>
          <w:sz w:val="28"/>
          <w:szCs w:val="28"/>
          <w:highlight w:val="none"/>
          <w:lang w:val="en-US" w:eastAsia="zh-CN"/>
        </w:rPr>
        <w:t>科研</w:t>
      </w:r>
      <w:r>
        <w:rPr>
          <w:rFonts w:hint="eastAsia" w:ascii="宋体" w:hAnsi="宋体" w:eastAsia="宋体"/>
          <w:sz w:val="28"/>
          <w:szCs w:val="28"/>
          <w:highlight w:val="none"/>
          <w:lang w:val="en-US" w:eastAsia="zh-CN"/>
        </w:rPr>
        <w:t>培训</w:t>
      </w:r>
      <w:r>
        <w:rPr>
          <w:rFonts w:hint="default" w:ascii="宋体" w:hAnsi="宋体" w:eastAsia="宋体"/>
          <w:sz w:val="28"/>
          <w:szCs w:val="28"/>
          <w:highlight w:val="none"/>
          <w:lang w:val="en-US" w:eastAsia="zh-CN"/>
        </w:rPr>
        <w:t>：</w:t>
      </w:r>
      <w:r>
        <w:rPr>
          <w:rFonts w:hint="eastAsia" w:ascii="宋体" w:hAnsi="宋体" w:eastAsia="宋体"/>
          <w:sz w:val="28"/>
          <w:szCs w:val="28"/>
          <w:highlight w:val="none"/>
          <w:lang w:val="en-US" w:eastAsia="zh-CN"/>
        </w:rPr>
        <w:t>2024年联合河南省循证医学中心开展3期科研设计与循证能力提升培训班，第1期</w:t>
      </w:r>
      <w:r>
        <w:rPr>
          <w:rFonts w:hint="default" w:ascii="宋体" w:hAnsi="宋体" w:eastAsia="宋体"/>
          <w:sz w:val="28"/>
          <w:szCs w:val="28"/>
          <w:highlight w:val="none"/>
          <w:lang w:val="en-US" w:eastAsia="zh-CN"/>
        </w:rPr>
        <w:t>邀请了北京中医药大学循证医学中心主任刘建平教授、山东大学齐鲁医院教育处处长兼学科建设办主任吕明教授进行</w:t>
      </w:r>
      <w:r>
        <w:rPr>
          <w:rFonts w:hint="eastAsia" w:ascii="宋体" w:hAnsi="宋体" w:eastAsia="宋体"/>
          <w:sz w:val="28"/>
          <w:szCs w:val="28"/>
          <w:highlight w:val="none"/>
          <w:lang w:val="en-US" w:eastAsia="zh-CN"/>
        </w:rPr>
        <w:t>题为《</w:t>
      </w:r>
      <w:r>
        <w:rPr>
          <w:rFonts w:hint="default" w:ascii="宋体" w:hAnsi="宋体" w:eastAsia="宋体"/>
          <w:sz w:val="28"/>
          <w:szCs w:val="28"/>
          <w:highlight w:val="none"/>
          <w:lang w:val="en-US" w:eastAsia="zh-CN"/>
        </w:rPr>
        <w:t>中医真实世界临床研究设计方法与应用</w:t>
      </w:r>
      <w:r>
        <w:rPr>
          <w:rFonts w:hint="eastAsia" w:ascii="宋体" w:hAnsi="宋体" w:eastAsia="宋体"/>
          <w:sz w:val="28"/>
          <w:szCs w:val="28"/>
          <w:highlight w:val="none"/>
          <w:lang w:val="en-US" w:eastAsia="zh-CN"/>
        </w:rPr>
        <w:t>》《</w:t>
      </w:r>
      <w:r>
        <w:rPr>
          <w:rFonts w:hint="default" w:ascii="宋体" w:hAnsi="宋体" w:eastAsia="宋体"/>
          <w:sz w:val="28"/>
          <w:szCs w:val="28"/>
          <w:highlight w:val="none"/>
          <w:lang w:val="en-US" w:eastAsia="zh-CN"/>
        </w:rPr>
        <w:t>研究者发起的临床研究问题与对策</w:t>
      </w:r>
      <w:r>
        <w:rPr>
          <w:rFonts w:hint="eastAsia" w:ascii="宋体" w:hAnsi="宋体" w:eastAsia="宋体"/>
          <w:sz w:val="28"/>
          <w:szCs w:val="28"/>
          <w:highlight w:val="none"/>
          <w:lang w:val="en-US" w:eastAsia="zh-CN"/>
        </w:rPr>
        <w:t>》的现场授课。第2期邀请了北京协和医院刘晓清教授和中国中医科学院谢雁鸣教授进行题为《临床研究与循证实践》《中医药治疗重大疾病循证评价及效应机制研究》的线上授课。第3期邀请广州中医药大学科创中心研究员温泽淮教授、首都医科大学附属北京中医医院/北京中医药循证医学中心副研究员胡晶教授进行题为《实用随机对照试验——设计与应用》《中医药临床研究常用统计分析方法及常见错误案例辨析》的现场授课。通过培训，为研究生开展科学研究供了新的思路与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default" w:ascii="宋体" w:hAnsi="宋体" w:eastAsia="宋体"/>
          <w:sz w:val="28"/>
          <w:szCs w:val="28"/>
          <w:highlight w:val="none"/>
          <w:lang w:val="en-US" w:eastAsia="zh-CN"/>
        </w:rPr>
        <w:t>多途径促进科教融合</w:t>
      </w:r>
      <w:r>
        <w:rPr>
          <w:rFonts w:hint="eastAsia" w:ascii="宋体" w:hAnsi="宋体" w:eastAsia="宋体"/>
          <w:sz w:val="28"/>
          <w:szCs w:val="28"/>
          <w:highlight w:val="none"/>
          <w:lang w:val="en-US" w:eastAsia="zh-CN"/>
        </w:rPr>
        <w:t>：①以科教为协同，落实科研育人。学位点持续推进科研成果进课堂和教材，推动科研成果向教学转化。鼓励学术学位博士研究生依托导师课题进行学位论文选题。②以竞赛为抓手，促进创新实践，以赛促研、以赛促学。学位点研究生在岐黄杯全国中医药博士生论文大赛、中国国际大学生创新大赛等获得多项奖项。</w:t>
      </w:r>
      <w:bookmarkStart w:id="6" w:name="OLE_LINK6"/>
    </w:p>
    <w:bookmarkEnd w:id="6"/>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4</w:t>
      </w:r>
      <w:r>
        <w:rPr>
          <w:rFonts w:hint="eastAsia" w:ascii="宋体" w:hAnsi="宋体" w:eastAsia="宋体"/>
          <w:sz w:val="28"/>
          <w:szCs w:val="28"/>
          <w:highlight w:val="none"/>
          <w:lang w:eastAsia="zh-CN"/>
        </w:rPr>
        <w:t>）</w:t>
      </w:r>
      <w:r>
        <w:rPr>
          <w:rFonts w:hint="eastAsia" w:ascii="宋体" w:hAnsi="宋体" w:eastAsia="宋体"/>
          <w:sz w:val="28"/>
          <w:szCs w:val="28"/>
          <w:highlight w:val="none"/>
        </w:rPr>
        <w:t>学术交流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学位点高度重视</w:t>
      </w:r>
      <w:r>
        <w:rPr>
          <w:rFonts w:hint="eastAsia" w:ascii="宋体" w:hAnsi="宋体" w:eastAsia="宋体"/>
          <w:sz w:val="28"/>
          <w:szCs w:val="28"/>
          <w:highlight w:val="none"/>
          <w:lang w:val="en-US" w:eastAsia="zh-CN"/>
        </w:rPr>
        <w:t>多元化</w:t>
      </w:r>
      <w:r>
        <w:rPr>
          <w:rFonts w:hint="eastAsia" w:ascii="宋体" w:hAnsi="宋体" w:eastAsia="宋体"/>
          <w:sz w:val="28"/>
          <w:szCs w:val="28"/>
          <w:highlight w:val="none"/>
        </w:rPr>
        <w:t>学术交流，</w:t>
      </w:r>
      <w:r>
        <w:rPr>
          <w:rFonts w:hint="eastAsia" w:ascii="宋体" w:hAnsi="宋体" w:eastAsia="宋体"/>
          <w:sz w:val="28"/>
          <w:szCs w:val="28"/>
          <w:highlight w:val="none"/>
          <w:lang w:val="en-US" w:eastAsia="zh-CN"/>
        </w:rPr>
        <w:t>2024年度</w:t>
      </w:r>
      <w:r>
        <w:rPr>
          <w:rFonts w:hint="eastAsia" w:ascii="宋体" w:hAnsi="宋体" w:eastAsia="宋体"/>
          <w:sz w:val="28"/>
          <w:szCs w:val="28"/>
          <w:highlight w:val="none"/>
        </w:rPr>
        <w:t>精心策划组织了包括研究生硕博论坛、百家讲坛、名师讲座及仲景文化节在内的多种学术交流活动。学点位141位导师在国家级学会担任主委和副主委，</w:t>
      </w:r>
      <w:r>
        <w:rPr>
          <w:rFonts w:hint="eastAsia" w:ascii="宋体" w:hAnsi="宋体" w:eastAsia="宋体"/>
          <w:sz w:val="28"/>
          <w:szCs w:val="28"/>
          <w:highlight w:val="none"/>
          <w:lang w:val="en-US" w:eastAsia="zh-CN"/>
        </w:rPr>
        <w:t>在</w:t>
      </w:r>
      <w:r>
        <w:rPr>
          <w:rFonts w:hint="eastAsia" w:ascii="宋体" w:hAnsi="宋体" w:eastAsia="宋体"/>
          <w:sz w:val="28"/>
          <w:szCs w:val="28"/>
          <w:highlight w:val="none"/>
        </w:rPr>
        <w:t>国家级学术会议时特设硕博分论坛，博士研究生积极参与，促进学术氛围形成。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学位点依托3个中医药国际合作基地和多个校际间学术交流平台，与马来西亚管理科学大学建立“中国-马来西亚仲景中医药中心”助推“一带一路”健康卫生行动；每年投入专项资金鼓励学生出国(境)开展学术交流活动，不仅开阔了学生的国际视野，也提升了学生的国际竞争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yellow"/>
        </w:rPr>
      </w:pPr>
      <w:bookmarkStart w:id="7" w:name="OLE_LINK8"/>
      <w:r>
        <w:rPr>
          <w:rFonts w:hint="eastAsia" w:ascii="宋体" w:hAnsi="宋体" w:eastAsia="宋体"/>
          <w:sz w:val="28"/>
          <w:szCs w:val="28"/>
          <w:highlight w:val="none"/>
        </w:rPr>
        <w:t>学位点</w:t>
      </w:r>
      <w:r>
        <w:rPr>
          <w:rFonts w:hint="eastAsia" w:ascii="宋体" w:hAnsi="宋体" w:eastAsia="宋体"/>
          <w:sz w:val="28"/>
          <w:szCs w:val="28"/>
          <w:highlight w:val="none"/>
          <w:lang w:val="en-US" w:eastAsia="zh-CN"/>
        </w:rPr>
        <w:t>2024年</w:t>
      </w:r>
      <w:r>
        <w:rPr>
          <w:rFonts w:hint="eastAsia" w:ascii="宋体" w:hAnsi="宋体" w:eastAsia="宋体"/>
          <w:sz w:val="28"/>
          <w:szCs w:val="28"/>
          <w:highlight w:val="none"/>
        </w:rPr>
        <w:t>共获得岐黄杯全国中医药博士生论文大赛奖项</w:t>
      </w:r>
      <w:r>
        <w:rPr>
          <w:rFonts w:hint="eastAsia" w:ascii="宋体" w:hAnsi="宋体" w:eastAsia="宋体"/>
          <w:sz w:val="28"/>
          <w:szCs w:val="28"/>
          <w:highlight w:val="none"/>
          <w:lang w:val="en-US" w:eastAsia="zh-CN"/>
        </w:rPr>
        <w:t>5</w:t>
      </w:r>
      <w:r>
        <w:rPr>
          <w:rFonts w:hint="eastAsia" w:ascii="宋体" w:hAnsi="宋体" w:eastAsia="宋体"/>
          <w:sz w:val="28"/>
          <w:szCs w:val="28"/>
          <w:highlight w:val="none"/>
        </w:rPr>
        <w:t>项，其中一等奖</w:t>
      </w:r>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项、三等奖</w:t>
      </w:r>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项、提名奖</w:t>
      </w:r>
      <w:r>
        <w:rPr>
          <w:rFonts w:hint="eastAsia" w:ascii="宋体" w:hAnsi="宋体" w:eastAsia="宋体"/>
          <w:sz w:val="28"/>
          <w:szCs w:val="28"/>
          <w:highlight w:val="none"/>
          <w:lang w:val="en-US" w:eastAsia="zh-CN"/>
        </w:rPr>
        <w:t>3</w:t>
      </w:r>
      <w:r>
        <w:rPr>
          <w:rFonts w:hint="eastAsia" w:ascii="宋体" w:hAnsi="宋体" w:eastAsia="宋体"/>
          <w:sz w:val="28"/>
          <w:szCs w:val="28"/>
          <w:highlight w:val="none"/>
        </w:rPr>
        <w:t>项；中国国际大学生创新大赛</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rPr>
        <w:t>项，包括二等奖、三等奖各1项；“挑战杯”大学生课外科技学术作品大赛河南省赛</w:t>
      </w:r>
      <w:r>
        <w:rPr>
          <w:rFonts w:hint="eastAsia" w:ascii="宋体" w:hAnsi="宋体" w:eastAsia="宋体"/>
          <w:sz w:val="28"/>
          <w:szCs w:val="28"/>
          <w:highlight w:val="none"/>
          <w:lang w:val="en-US" w:eastAsia="zh-CN"/>
        </w:rPr>
        <w:t>铜奖1</w:t>
      </w:r>
      <w:r>
        <w:rPr>
          <w:rFonts w:hint="eastAsia" w:ascii="宋体" w:hAnsi="宋体" w:eastAsia="宋体"/>
          <w:sz w:val="28"/>
          <w:szCs w:val="28"/>
          <w:highlight w:val="none"/>
        </w:rPr>
        <w:t>项</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河北省赛三等奖1</w:t>
      </w:r>
      <w:r>
        <w:rPr>
          <w:rFonts w:hint="eastAsia" w:ascii="宋体" w:hAnsi="宋体" w:eastAsia="宋体"/>
          <w:sz w:val="28"/>
          <w:szCs w:val="28"/>
          <w:highlight w:val="none"/>
        </w:rPr>
        <w:t>项；“精诚杯”中医专硕理论知识及临床技能竞赛</w:t>
      </w:r>
      <w:r>
        <w:rPr>
          <w:rFonts w:hint="eastAsia" w:ascii="宋体" w:hAnsi="宋体" w:eastAsia="宋体"/>
          <w:sz w:val="28"/>
          <w:szCs w:val="28"/>
          <w:highlight w:val="none"/>
          <w:lang w:val="en-US" w:eastAsia="zh-CN"/>
        </w:rPr>
        <w:t>一等奖2项</w:t>
      </w:r>
      <w:r>
        <w:rPr>
          <w:rFonts w:hint="eastAsia" w:ascii="宋体" w:hAnsi="宋体" w:eastAsia="宋体"/>
          <w:sz w:val="28"/>
          <w:szCs w:val="28"/>
          <w:highlight w:val="none"/>
        </w:rPr>
        <w:t>；“仲景”硕博论坛二等奖</w:t>
      </w:r>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项。</w:t>
      </w:r>
    </w:p>
    <w:bookmarkEnd w:id="7"/>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5</w:t>
      </w:r>
      <w:r>
        <w:rPr>
          <w:rFonts w:hint="eastAsia" w:ascii="宋体" w:hAnsi="宋体" w:eastAsia="宋体"/>
          <w:sz w:val="28"/>
          <w:szCs w:val="28"/>
          <w:highlight w:val="none"/>
          <w:lang w:eastAsia="zh-CN"/>
        </w:rPr>
        <w:t>）</w:t>
      </w:r>
      <w:r>
        <w:rPr>
          <w:rFonts w:hint="eastAsia" w:ascii="宋体" w:hAnsi="宋体" w:eastAsia="宋体"/>
          <w:sz w:val="28"/>
          <w:szCs w:val="28"/>
          <w:highlight w:val="none"/>
        </w:rPr>
        <w:t>论文质量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学位点严格按照大学制定的《河南中医药大学研究生学位论文科研原始资料审核办法》、《河南中医药大学研究生学位论文匿名评审办法（试行）》等多项文件，依托河南省中医药科研质量控制中心在论文外审前对学位论文原始材料进行严格检查，且在答辩前学校组织校外专家对所有申请博士学位人员原始材料进行复查，保证原始材料真实性，避免学术不端。预答辩和正式答辩由5</w:t>
      </w:r>
      <w:r>
        <w:rPr>
          <w:rFonts w:hint="eastAsia" w:ascii="宋体" w:hAnsi="宋体" w:eastAsia="宋体"/>
          <w:sz w:val="28"/>
          <w:szCs w:val="28"/>
          <w:highlight w:val="none"/>
          <w:lang w:val="en-US" w:eastAsia="zh-CN"/>
        </w:rPr>
        <w:t>～</w:t>
      </w:r>
      <w:r>
        <w:rPr>
          <w:rFonts w:hint="eastAsia" w:ascii="宋体" w:hAnsi="宋体" w:eastAsia="宋体"/>
          <w:sz w:val="28"/>
          <w:szCs w:val="28"/>
          <w:highlight w:val="none"/>
        </w:rPr>
        <w:t>7名博士生导师（含2名校外博导）组成答辩小组、外审实行双盲评审制度、学校统一查重等措施，保障论文质量。学位点建设期间，学术型博士生学位论文全部外审通过，河南省省级抽检通过率100%，国家级抽检合格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6</w:t>
      </w:r>
      <w:r>
        <w:rPr>
          <w:rFonts w:hint="eastAsia" w:ascii="宋体" w:hAnsi="宋体" w:eastAsia="宋体"/>
          <w:sz w:val="28"/>
          <w:szCs w:val="28"/>
          <w:highlight w:val="none"/>
          <w:lang w:eastAsia="zh-CN"/>
        </w:rPr>
        <w:t>）质量</w:t>
      </w:r>
      <w:r>
        <w:rPr>
          <w:rFonts w:hint="eastAsia" w:ascii="宋体" w:hAnsi="宋体" w:eastAsia="宋体"/>
          <w:sz w:val="28"/>
          <w:szCs w:val="28"/>
          <w:highlight w:val="none"/>
          <w:lang w:val="en-US" w:eastAsia="zh-CN"/>
        </w:rPr>
        <w:t>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color w:val="auto"/>
          <w:sz w:val="28"/>
          <w:szCs w:val="28"/>
          <w:highlight w:val="none"/>
          <w:lang w:eastAsia="zh-CN"/>
        </w:rPr>
        <w:t>在研究生培养质量保障体系中，以提高研究生培养质量为核心，以过程管理和节点控制为重点。</w:t>
      </w:r>
      <w:r>
        <w:rPr>
          <w:rFonts w:hint="eastAsia" w:ascii="宋体" w:hAnsi="宋体" w:eastAsia="宋体"/>
          <w:color w:val="auto"/>
          <w:sz w:val="28"/>
          <w:szCs w:val="28"/>
          <w:highlight w:val="none"/>
          <w:lang w:val="en-US" w:eastAsia="zh-CN"/>
        </w:rPr>
        <w:t>保证了研究生</w:t>
      </w:r>
      <w:r>
        <w:rPr>
          <w:rFonts w:hint="eastAsia" w:ascii="宋体" w:hAnsi="宋体" w:eastAsia="宋体"/>
          <w:b w:val="0"/>
          <w:bCs w:val="0"/>
          <w:color w:val="auto"/>
          <w:sz w:val="28"/>
          <w:szCs w:val="28"/>
          <w:highlight w:val="none"/>
          <w:lang w:eastAsia="zh-CN"/>
        </w:rPr>
        <w:t>培养全过程监控与</w:t>
      </w:r>
      <w:r>
        <w:rPr>
          <w:rFonts w:hint="eastAsia" w:ascii="宋体" w:hAnsi="宋体" w:eastAsia="宋体"/>
          <w:b w:val="0"/>
          <w:bCs w:val="0"/>
          <w:color w:val="auto"/>
          <w:sz w:val="28"/>
          <w:szCs w:val="28"/>
          <w:highlight w:val="none"/>
          <w:lang w:val="en-US" w:eastAsia="zh-CN"/>
        </w:rPr>
        <w:t>培养</w:t>
      </w:r>
      <w:r>
        <w:rPr>
          <w:rFonts w:hint="eastAsia" w:ascii="宋体" w:hAnsi="宋体" w:eastAsia="宋体"/>
          <w:b w:val="0"/>
          <w:bCs w:val="0"/>
          <w:color w:val="auto"/>
          <w:sz w:val="28"/>
          <w:szCs w:val="28"/>
          <w:highlight w:val="none"/>
          <w:lang w:eastAsia="zh-CN"/>
        </w:rPr>
        <w:t>质量。</w:t>
      </w:r>
      <w:r>
        <w:rPr>
          <w:rFonts w:hint="eastAsia" w:ascii="宋体" w:hAnsi="宋体" w:eastAsia="宋体"/>
          <w:b/>
          <w:bCs/>
          <w:color w:val="auto"/>
          <w:sz w:val="28"/>
          <w:szCs w:val="28"/>
          <w:highlight w:val="none"/>
          <w:lang w:val="en-US" w:eastAsia="zh-CN"/>
        </w:rPr>
        <w:t>一是</w:t>
      </w:r>
      <w:r>
        <w:rPr>
          <w:rFonts w:hint="eastAsia" w:ascii="宋体" w:hAnsi="宋体" w:eastAsia="宋体"/>
          <w:b/>
          <w:bCs/>
          <w:color w:val="auto"/>
          <w:sz w:val="28"/>
          <w:szCs w:val="28"/>
          <w:highlight w:val="none"/>
          <w:lang w:eastAsia="zh-CN"/>
        </w:rPr>
        <w:t>通过制作工作年历、落实工作流程等形式。</w:t>
      </w:r>
      <w:r>
        <w:rPr>
          <w:rFonts w:hint="eastAsia" w:ascii="宋体" w:hAnsi="宋体" w:eastAsia="宋体"/>
          <w:color w:val="auto"/>
          <w:sz w:val="28"/>
          <w:szCs w:val="28"/>
          <w:highlight w:val="none"/>
          <w:lang w:eastAsia="zh-CN"/>
        </w:rPr>
        <w:t>对研究生培养的各项工作进行梳理，把多年来积累的管理经验通过文本、图形等可视化手段加以体现，制作了答辩流程图、招生流程图等研究生工作流程图，实现了流程标准化和标准化管理，提高了工作效率。</w:t>
      </w:r>
      <w:r>
        <w:rPr>
          <w:rFonts w:hint="eastAsia" w:ascii="宋体" w:hAnsi="宋体" w:eastAsia="宋体"/>
          <w:b/>
          <w:bCs/>
          <w:sz w:val="28"/>
          <w:szCs w:val="28"/>
          <w:highlight w:val="none"/>
          <w:lang w:val="en-US" w:eastAsia="zh-CN"/>
        </w:rPr>
        <w:t>二是制定</w:t>
      </w:r>
      <w:r>
        <w:rPr>
          <w:rFonts w:hint="eastAsia" w:ascii="宋体" w:hAnsi="宋体" w:eastAsia="宋体"/>
          <w:b/>
          <w:bCs/>
          <w:sz w:val="28"/>
          <w:szCs w:val="28"/>
          <w:highlight w:val="none"/>
          <w:lang w:eastAsia="zh-CN"/>
        </w:rPr>
        <w:t>全方面评价体系</w:t>
      </w:r>
      <w:r>
        <w:rPr>
          <w:rFonts w:hint="eastAsia" w:ascii="宋体" w:hAnsi="宋体" w:eastAsia="宋体"/>
          <w:sz w:val="28"/>
          <w:szCs w:val="28"/>
          <w:highlight w:val="none"/>
          <w:lang w:eastAsia="zh-CN"/>
        </w:rPr>
        <w:t>。根据考试成绩、课程论文质量进行课程学习情况评价，根据学术论文、专利或科研成果进行科研能力评价，根据是否遵守学术规范，杜绝学术不端行为进行学术道德评价，并结合自我评价、导师评价和同行评价建立全方面教学评价体系。</w:t>
      </w:r>
      <w:r>
        <w:rPr>
          <w:rFonts w:hint="eastAsia" w:ascii="宋体" w:hAnsi="宋体" w:eastAsia="宋体"/>
          <w:b/>
          <w:bCs/>
          <w:sz w:val="28"/>
          <w:szCs w:val="28"/>
          <w:highlight w:val="none"/>
          <w:lang w:val="en-US" w:eastAsia="zh-CN"/>
        </w:rPr>
        <w:t>三是</w:t>
      </w:r>
      <w:r>
        <w:rPr>
          <w:rFonts w:hint="eastAsia" w:ascii="宋体" w:hAnsi="宋体" w:eastAsia="宋体"/>
          <w:b/>
          <w:bCs/>
          <w:sz w:val="28"/>
          <w:szCs w:val="28"/>
          <w:highlight w:val="none"/>
          <w:lang w:eastAsia="zh-CN"/>
        </w:rPr>
        <w:t>实施全过程监督管理</w:t>
      </w:r>
      <w:r>
        <w:rPr>
          <w:rFonts w:hint="eastAsia" w:ascii="宋体" w:hAnsi="宋体" w:eastAsia="宋体"/>
          <w:sz w:val="28"/>
          <w:szCs w:val="28"/>
          <w:highlight w:val="none"/>
          <w:lang w:eastAsia="zh-CN"/>
        </w:rPr>
        <w:t>。严格把控入学考试环节，优化培养方案，积极开展教学质量监督，加强学术培养的阶段性考核，强化毕业考核与就业指导工作，</w:t>
      </w:r>
      <w:r>
        <w:rPr>
          <w:rFonts w:hint="eastAsia" w:ascii="宋体" w:hAnsi="宋体" w:eastAsia="宋体"/>
          <w:sz w:val="28"/>
          <w:szCs w:val="28"/>
          <w:highlight w:val="none"/>
          <w:lang w:val="en-US" w:eastAsia="zh-CN"/>
        </w:rPr>
        <w:t>从</w:t>
      </w:r>
      <w:r>
        <w:rPr>
          <w:rFonts w:hint="eastAsia" w:ascii="宋体" w:hAnsi="宋体" w:eastAsia="宋体"/>
          <w:sz w:val="28"/>
          <w:szCs w:val="28"/>
          <w:highlight w:val="none"/>
          <w:lang w:eastAsia="zh-CN"/>
        </w:rPr>
        <w:t>各环节入手，努力做好各方面工作。</w:t>
      </w:r>
      <w:r>
        <w:rPr>
          <w:rFonts w:hint="eastAsia" w:ascii="宋体" w:hAnsi="宋体" w:eastAsia="宋体"/>
          <w:b/>
          <w:bCs/>
          <w:sz w:val="28"/>
          <w:szCs w:val="28"/>
          <w:highlight w:val="none"/>
          <w:lang w:val="en-US" w:eastAsia="zh-CN"/>
        </w:rPr>
        <w:t>四是</w:t>
      </w:r>
      <w:r>
        <w:rPr>
          <w:rFonts w:hint="eastAsia" w:ascii="宋体" w:hAnsi="宋体" w:eastAsia="宋体"/>
          <w:b/>
          <w:bCs/>
          <w:sz w:val="28"/>
          <w:szCs w:val="28"/>
          <w:highlight w:val="none"/>
          <w:lang w:eastAsia="zh-CN"/>
        </w:rPr>
        <w:t>设立</w:t>
      </w:r>
      <w:bookmarkStart w:id="8" w:name="OLE_LINK4"/>
      <w:r>
        <w:rPr>
          <w:rFonts w:hint="eastAsia" w:ascii="宋体" w:hAnsi="宋体" w:eastAsia="宋体"/>
          <w:b/>
          <w:bCs/>
          <w:sz w:val="28"/>
          <w:szCs w:val="28"/>
          <w:highlight w:val="none"/>
          <w:lang w:eastAsia="zh-CN"/>
        </w:rPr>
        <w:t>学业预警制度</w:t>
      </w:r>
      <w:bookmarkEnd w:id="8"/>
      <w:r>
        <w:rPr>
          <w:rFonts w:hint="eastAsia" w:ascii="宋体" w:hAnsi="宋体" w:eastAsia="宋体"/>
          <w:sz w:val="28"/>
          <w:szCs w:val="28"/>
          <w:highlight w:val="none"/>
          <w:lang w:eastAsia="zh-CN"/>
        </w:rPr>
        <w:t>。引导学生提高自我管理、自我约束的能力，增强学习主动性，</w:t>
      </w:r>
      <w:r>
        <w:rPr>
          <w:rFonts w:hint="eastAsia" w:ascii="宋体" w:hAnsi="宋体" w:eastAsia="宋体"/>
          <w:sz w:val="28"/>
          <w:szCs w:val="28"/>
          <w:highlight w:val="none"/>
          <w:lang w:val="en-US" w:eastAsia="zh-CN"/>
        </w:rPr>
        <w:t>帮助</w:t>
      </w:r>
      <w:r>
        <w:rPr>
          <w:rFonts w:hint="eastAsia" w:ascii="宋体" w:hAnsi="宋体" w:eastAsia="宋体"/>
          <w:sz w:val="28"/>
          <w:szCs w:val="28"/>
          <w:highlight w:val="none"/>
          <w:lang w:eastAsia="zh-CN"/>
        </w:rPr>
        <w:t>学生顺利完成学业，确保人才培养质量业。</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b/>
          <w:bCs/>
          <w:sz w:val="28"/>
          <w:szCs w:val="28"/>
          <w:highlight w:val="none"/>
          <w:lang w:eastAsia="zh-CN"/>
        </w:rPr>
      </w:pPr>
      <w:r>
        <w:rPr>
          <w:rFonts w:hint="eastAsia" w:ascii="宋体" w:hAnsi="宋体" w:eastAsia="宋体"/>
          <w:b/>
          <w:bCs/>
          <w:sz w:val="28"/>
          <w:szCs w:val="28"/>
          <w:highlight w:val="none"/>
          <w:lang w:eastAsia="zh-CN"/>
        </w:rPr>
        <w:t>学位论文管理：</w:t>
      </w:r>
      <w:r>
        <w:rPr>
          <w:rFonts w:hint="eastAsia" w:ascii="宋体" w:hAnsi="宋体" w:eastAsia="宋体"/>
          <w:b w:val="0"/>
          <w:bCs w:val="0"/>
          <w:sz w:val="28"/>
          <w:szCs w:val="28"/>
          <w:highlight w:val="none"/>
          <w:lang w:eastAsia="zh-CN"/>
        </w:rPr>
        <w:t>一是加强制度建设，严格依据学校</w:t>
      </w:r>
      <w:r>
        <w:rPr>
          <w:rFonts w:hint="eastAsia" w:ascii="宋体" w:hAnsi="宋体" w:eastAsia="宋体"/>
          <w:b w:val="0"/>
          <w:bCs w:val="0"/>
          <w:sz w:val="28"/>
          <w:szCs w:val="28"/>
          <w:highlight w:val="none"/>
          <w:lang w:val="en-US" w:eastAsia="zh-CN"/>
        </w:rPr>
        <w:t>文件</w:t>
      </w:r>
      <w:r>
        <w:rPr>
          <w:rFonts w:hint="eastAsia" w:ascii="宋体" w:hAnsi="宋体" w:eastAsia="宋体"/>
          <w:b w:val="0"/>
          <w:bCs w:val="0"/>
          <w:sz w:val="28"/>
          <w:szCs w:val="28"/>
          <w:highlight w:val="none"/>
          <w:lang w:eastAsia="zh-CN"/>
        </w:rPr>
        <w:t>要求，对每年的硕士毕业论文加强管理。二是加强导师对研究生培养与监督作用。在研究生培养期间，加强写作环节的管理，要求导师</w:t>
      </w:r>
      <w:r>
        <w:rPr>
          <w:rFonts w:hint="eastAsia" w:ascii="宋体" w:hAnsi="宋体" w:eastAsia="宋体"/>
          <w:b w:val="0"/>
          <w:bCs w:val="0"/>
          <w:sz w:val="28"/>
          <w:szCs w:val="28"/>
          <w:highlight w:val="none"/>
          <w:lang w:val="en-US" w:eastAsia="zh-CN"/>
        </w:rPr>
        <w:t>规范研究生</w:t>
      </w:r>
      <w:r>
        <w:rPr>
          <w:rFonts w:hint="eastAsia" w:ascii="宋体" w:hAnsi="宋体" w:eastAsia="宋体"/>
          <w:b w:val="0"/>
          <w:bCs w:val="0"/>
          <w:sz w:val="28"/>
          <w:szCs w:val="28"/>
          <w:highlight w:val="none"/>
          <w:lang w:eastAsia="zh-CN"/>
        </w:rPr>
        <w:t>学位论文写作格式，在学术道德方面严格要求学生坚决抵制论文剽窃、内容抄袭、数据篡改等学术不端行为。三是加强学位论文的审查力度。学位论文完成后，</w:t>
      </w:r>
      <w:r>
        <w:rPr>
          <w:rFonts w:hint="eastAsia" w:ascii="宋体" w:hAnsi="宋体" w:eastAsia="宋体"/>
          <w:b w:val="0"/>
          <w:bCs w:val="0"/>
          <w:sz w:val="28"/>
          <w:szCs w:val="28"/>
          <w:highlight w:val="none"/>
          <w:lang w:val="en-US" w:eastAsia="zh-CN"/>
        </w:rPr>
        <w:t>按照</w:t>
      </w:r>
      <w:r>
        <w:rPr>
          <w:rFonts w:hint="eastAsia" w:ascii="宋体" w:hAnsi="宋体" w:eastAsia="宋体"/>
          <w:b w:val="0"/>
          <w:bCs w:val="0"/>
          <w:sz w:val="28"/>
          <w:szCs w:val="28"/>
          <w:highlight w:val="none"/>
          <w:lang w:eastAsia="zh-CN"/>
        </w:rPr>
        <w:t>“研究生自查—导师审查—</w:t>
      </w:r>
      <w:r>
        <w:rPr>
          <w:rFonts w:hint="eastAsia" w:ascii="宋体" w:hAnsi="宋体" w:eastAsia="宋体"/>
          <w:b w:val="0"/>
          <w:bCs w:val="0"/>
          <w:sz w:val="28"/>
          <w:szCs w:val="28"/>
          <w:highlight w:val="none"/>
          <w:lang w:val="en-US" w:eastAsia="zh-CN"/>
        </w:rPr>
        <w:t>学科</w:t>
      </w:r>
      <w:r>
        <w:rPr>
          <w:rFonts w:hint="eastAsia" w:ascii="宋体" w:hAnsi="宋体" w:eastAsia="宋体"/>
          <w:b w:val="0"/>
          <w:bCs w:val="0"/>
          <w:sz w:val="28"/>
          <w:szCs w:val="28"/>
          <w:highlight w:val="none"/>
          <w:lang w:eastAsia="zh-CN"/>
        </w:rPr>
        <w:t>初审—</w:t>
      </w:r>
      <w:r>
        <w:rPr>
          <w:rFonts w:hint="eastAsia" w:ascii="宋体" w:hAnsi="宋体" w:eastAsia="宋体"/>
          <w:b w:val="0"/>
          <w:bCs w:val="0"/>
          <w:sz w:val="28"/>
          <w:szCs w:val="28"/>
          <w:highlight w:val="none"/>
          <w:lang w:val="en-US" w:eastAsia="zh-CN"/>
        </w:rPr>
        <w:t>院部审核</w:t>
      </w:r>
      <w:bookmarkStart w:id="9" w:name="OLE_LINK5"/>
      <w:r>
        <w:rPr>
          <w:rFonts w:hint="eastAsia" w:ascii="宋体" w:hAnsi="宋体" w:eastAsia="宋体"/>
          <w:b w:val="0"/>
          <w:bCs w:val="0"/>
          <w:sz w:val="28"/>
          <w:szCs w:val="28"/>
          <w:highlight w:val="none"/>
          <w:lang w:eastAsia="zh-CN"/>
        </w:rPr>
        <w:t>—</w:t>
      </w:r>
      <w:bookmarkEnd w:id="9"/>
      <w:r>
        <w:rPr>
          <w:rFonts w:hint="eastAsia" w:ascii="宋体" w:hAnsi="宋体" w:eastAsia="宋体"/>
          <w:b w:val="0"/>
          <w:bCs w:val="0"/>
          <w:sz w:val="28"/>
          <w:szCs w:val="28"/>
          <w:highlight w:val="none"/>
          <w:lang w:val="en-US" w:eastAsia="zh-CN"/>
        </w:rPr>
        <w:t>预答辩</w:t>
      </w:r>
      <w:r>
        <w:rPr>
          <w:rFonts w:hint="eastAsia" w:ascii="宋体" w:hAnsi="宋体" w:eastAsia="宋体"/>
          <w:b w:val="0"/>
          <w:bCs w:val="0"/>
          <w:sz w:val="28"/>
          <w:szCs w:val="28"/>
          <w:highlight w:val="none"/>
          <w:lang w:eastAsia="zh-CN"/>
        </w:rPr>
        <w:t>—校外盲审—</w:t>
      </w:r>
      <w:r>
        <w:rPr>
          <w:rFonts w:hint="eastAsia" w:ascii="宋体" w:hAnsi="宋体" w:eastAsia="宋体"/>
          <w:b w:val="0"/>
          <w:bCs w:val="0"/>
          <w:sz w:val="28"/>
          <w:szCs w:val="28"/>
          <w:highlight w:val="none"/>
          <w:lang w:val="en-US" w:eastAsia="zh-CN"/>
        </w:rPr>
        <w:t>研究生院</w:t>
      </w:r>
      <w:r>
        <w:rPr>
          <w:rFonts w:hint="eastAsia" w:ascii="宋体" w:hAnsi="宋体" w:eastAsia="宋体"/>
          <w:b w:val="0"/>
          <w:bCs w:val="0"/>
          <w:sz w:val="28"/>
          <w:szCs w:val="28"/>
          <w:highlight w:val="none"/>
          <w:lang w:eastAsia="zh-CN"/>
        </w:rPr>
        <w:t>汇总意见并下发整改通知—研究生修改—导师确认—</w:t>
      </w:r>
      <w:r>
        <w:rPr>
          <w:rFonts w:hint="eastAsia" w:ascii="宋体" w:hAnsi="宋体" w:eastAsia="宋体"/>
          <w:b w:val="0"/>
          <w:bCs w:val="0"/>
          <w:sz w:val="28"/>
          <w:szCs w:val="28"/>
          <w:highlight w:val="none"/>
          <w:lang w:val="en-US" w:eastAsia="zh-CN"/>
        </w:rPr>
        <w:t>院部再</w:t>
      </w:r>
      <w:r>
        <w:rPr>
          <w:rFonts w:hint="eastAsia" w:ascii="宋体" w:hAnsi="宋体" w:eastAsia="宋体"/>
          <w:b w:val="0"/>
          <w:bCs w:val="0"/>
          <w:sz w:val="28"/>
          <w:szCs w:val="28"/>
          <w:highlight w:val="none"/>
          <w:lang w:eastAsia="zh-CN"/>
        </w:rPr>
        <w:t>审核”</w:t>
      </w:r>
      <w:r>
        <w:rPr>
          <w:rFonts w:hint="eastAsia" w:ascii="宋体" w:hAnsi="宋体" w:eastAsia="宋体"/>
          <w:b w:val="0"/>
          <w:bCs w:val="0"/>
          <w:sz w:val="28"/>
          <w:szCs w:val="28"/>
          <w:highlight w:val="none"/>
          <w:lang w:val="en-US" w:eastAsia="zh-CN"/>
        </w:rPr>
        <w:t>程序审核</w:t>
      </w:r>
      <w:r>
        <w:rPr>
          <w:rFonts w:hint="eastAsia" w:ascii="宋体" w:hAnsi="宋体" w:eastAsia="宋体"/>
          <w:b w:val="0"/>
          <w:bCs w:val="0"/>
          <w:sz w:val="28"/>
          <w:szCs w:val="28"/>
          <w:highlight w:val="none"/>
          <w:lang w:eastAsia="zh-CN"/>
        </w:rPr>
        <w:t>，</w:t>
      </w:r>
      <w:r>
        <w:rPr>
          <w:rFonts w:hint="eastAsia" w:ascii="宋体" w:hAnsi="宋体" w:eastAsia="宋体"/>
          <w:b w:val="0"/>
          <w:bCs w:val="0"/>
          <w:sz w:val="28"/>
          <w:szCs w:val="28"/>
          <w:highlight w:val="none"/>
          <w:lang w:val="en-US" w:eastAsia="zh-CN"/>
        </w:rPr>
        <w:t>符合要求</w:t>
      </w:r>
      <w:r>
        <w:rPr>
          <w:rFonts w:hint="eastAsia" w:ascii="宋体" w:hAnsi="宋体" w:eastAsia="宋体"/>
          <w:b w:val="0"/>
          <w:bCs w:val="0"/>
          <w:sz w:val="28"/>
          <w:szCs w:val="28"/>
          <w:highlight w:val="none"/>
          <w:lang w:eastAsia="zh-CN"/>
        </w:rPr>
        <w:t>后，才可以进入论文答辩阶段。五是加强责任认定制度的建设。研究生本人</w:t>
      </w:r>
      <w:r>
        <w:rPr>
          <w:rFonts w:hint="eastAsia" w:ascii="宋体" w:hAnsi="宋体" w:eastAsia="宋体"/>
          <w:b w:val="0"/>
          <w:bCs w:val="0"/>
          <w:sz w:val="28"/>
          <w:szCs w:val="28"/>
          <w:highlight w:val="none"/>
          <w:lang w:val="en-US" w:eastAsia="zh-CN"/>
        </w:rPr>
        <w:t>与</w:t>
      </w:r>
      <w:r>
        <w:rPr>
          <w:rFonts w:hint="eastAsia" w:ascii="宋体" w:hAnsi="宋体" w:eastAsia="宋体"/>
          <w:b w:val="0"/>
          <w:bCs w:val="0"/>
          <w:sz w:val="28"/>
          <w:szCs w:val="28"/>
          <w:highlight w:val="none"/>
          <w:lang w:eastAsia="zh-CN"/>
        </w:rPr>
        <w:t>研究生导师</w:t>
      </w:r>
      <w:r>
        <w:rPr>
          <w:rFonts w:hint="eastAsia" w:ascii="宋体" w:hAnsi="宋体" w:eastAsia="宋体"/>
          <w:b w:val="0"/>
          <w:bCs w:val="0"/>
          <w:sz w:val="28"/>
          <w:szCs w:val="28"/>
          <w:highlight w:val="none"/>
          <w:lang w:val="en-US" w:eastAsia="zh-CN"/>
        </w:rPr>
        <w:t>是</w:t>
      </w:r>
      <w:r>
        <w:rPr>
          <w:rFonts w:hint="eastAsia" w:ascii="宋体" w:hAnsi="宋体" w:eastAsia="宋体"/>
          <w:b w:val="0"/>
          <w:bCs w:val="0"/>
          <w:sz w:val="28"/>
          <w:szCs w:val="28"/>
          <w:highlight w:val="none"/>
          <w:lang w:eastAsia="zh-CN"/>
        </w:rPr>
        <w:t>学位论文质量的直接负责人，一旦学位论文出现学术与非学术</w:t>
      </w:r>
      <w:r>
        <w:rPr>
          <w:rFonts w:hint="eastAsia" w:ascii="宋体" w:hAnsi="宋体" w:eastAsia="宋体"/>
          <w:b w:val="0"/>
          <w:bCs w:val="0"/>
          <w:sz w:val="28"/>
          <w:szCs w:val="28"/>
          <w:highlight w:val="none"/>
          <w:lang w:val="en-US" w:eastAsia="zh-CN"/>
        </w:rPr>
        <w:t>方面</w:t>
      </w:r>
      <w:r>
        <w:rPr>
          <w:rFonts w:hint="eastAsia" w:ascii="宋体" w:hAnsi="宋体" w:eastAsia="宋体"/>
          <w:b w:val="0"/>
          <w:bCs w:val="0"/>
          <w:sz w:val="28"/>
          <w:szCs w:val="28"/>
          <w:highlight w:val="none"/>
          <w:lang w:eastAsia="zh-CN"/>
        </w:rPr>
        <w:t>问题，二者都是责任主体，</w:t>
      </w:r>
      <w:r>
        <w:rPr>
          <w:rFonts w:hint="eastAsia" w:ascii="宋体" w:hAnsi="宋体" w:eastAsia="宋体"/>
          <w:b w:val="0"/>
          <w:bCs w:val="0"/>
          <w:sz w:val="28"/>
          <w:szCs w:val="28"/>
          <w:highlight w:val="none"/>
          <w:lang w:val="en-US" w:eastAsia="zh-CN"/>
        </w:rPr>
        <w:t>共同承担相关惩罚</w:t>
      </w:r>
      <w:r>
        <w:rPr>
          <w:rFonts w:hint="eastAsia" w:ascii="宋体" w:hAnsi="宋体" w:eastAsia="宋体"/>
          <w:b w:val="0"/>
          <w:bCs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eastAsia="zh-CN"/>
        </w:rPr>
      </w:pPr>
      <w:r>
        <w:rPr>
          <w:rFonts w:hint="eastAsia" w:ascii="宋体" w:hAnsi="宋体" w:eastAsia="宋体" w:cs="宋体"/>
          <w:b/>
          <w:bCs/>
          <w:color w:val="000000"/>
          <w:sz w:val="28"/>
          <w:szCs w:val="28"/>
          <w:lang w:val="en-US" w:eastAsia="zh-CN"/>
        </w:rPr>
        <w:t>学位授予管理：</w:t>
      </w:r>
      <w:r>
        <w:rPr>
          <w:rFonts w:hint="eastAsia" w:ascii="宋体" w:hAnsi="宋体" w:eastAsia="宋体" w:cs="宋体"/>
          <w:b w:val="0"/>
          <w:bCs w:val="0"/>
          <w:color w:val="000000"/>
          <w:sz w:val="28"/>
          <w:szCs w:val="28"/>
          <w:lang w:val="en-US" w:eastAsia="zh-CN"/>
        </w:rPr>
        <w:t>严格落实管理规定。学位点授予学位严格按照《硕士学位管理规定》落实具体工作，按照相关流程，研究生毕业论文答辩之后，硕士学位授予之前，严格审查每一位研究生的理论课时、论文发表等是否达到学位授予要求。研究生毕业论文答辩委员会要综合考查并决定学位授予情况，汇总每一位毕业生的培养计划完成情况、科技论文发表情况、毕业论文盲审结果、学位论文自查结果、学位论文学科办审查结果、毕业论文答辩结果等方面的内容，对于符合要求的毕业生授予学位，对不能完全符合规定的毕业生暂缓学位授予并限期整改，至少推迟半年毕业。</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eastAsia="zh-CN"/>
        </w:rPr>
      </w:pPr>
      <w:r>
        <w:rPr>
          <w:rFonts w:hint="eastAsia" w:ascii="宋体" w:hAnsi="宋体" w:eastAsia="宋体"/>
          <w:b/>
          <w:bCs/>
          <w:sz w:val="28"/>
          <w:szCs w:val="28"/>
          <w:highlight w:val="none"/>
          <w:lang w:eastAsia="zh-CN"/>
        </w:rPr>
        <w:t>指导教师质量管控</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学位点</w:t>
      </w:r>
      <w:r>
        <w:rPr>
          <w:rFonts w:hint="eastAsia" w:ascii="宋体" w:hAnsi="宋体" w:eastAsia="宋体"/>
          <w:sz w:val="28"/>
          <w:szCs w:val="28"/>
          <w:highlight w:val="none"/>
          <w:lang w:eastAsia="zh-CN"/>
        </w:rPr>
        <w:t>从师德师风、导师职责、导师任务和制度规定等方面入手，依据《</w:t>
      </w:r>
      <w:r>
        <w:rPr>
          <w:rFonts w:hint="eastAsia" w:ascii="宋体" w:hAnsi="宋体" w:eastAsia="宋体"/>
          <w:sz w:val="28"/>
          <w:szCs w:val="28"/>
          <w:highlight w:val="none"/>
          <w:lang w:val="en-US" w:eastAsia="zh-CN"/>
        </w:rPr>
        <w:t>河南中医药大学关于全面落实研究生导师立德树人职责实施细则</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河南中医药大学研究生指导教师工作条例</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河南中医药大学研究生指导教师考核办法</w:t>
      </w:r>
      <w:r>
        <w:rPr>
          <w:rFonts w:hint="eastAsia" w:ascii="宋体" w:hAnsi="宋体" w:eastAsia="宋体"/>
          <w:sz w:val="28"/>
          <w:szCs w:val="28"/>
          <w:highlight w:val="none"/>
          <w:lang w:eastAsia="zh-CN"/>
        </w:rPr>
        <w:t>》等文件规定与要求开展工作，</w:t>
      </w:r>
      <w:r>
        <w:rPr>
          <w:rFonts w:hint="eastAsia" w:ascii="宋体" w:hAnsi="宋体" w:eastAsia="宋体"/>
          <w:sz w:val="28"/>
          <w:szCs w:val="28"/>
          <w:highlight w:val="none"/>
          <w:lang w:val="en-US" w:eastAsia="zh-CN"/>
        </w:rPr>
        <w:t>实行</w:t>
      </w:r>
      <w:r>
        <w:rPr>
          <w:rFonts w:hint="eastAsia" w:ascii="宋体" w:hAnsi="宋体" w:eastAsia="宋体"/>
          <w:sz w:val="28"/>
          <w:szCs w:val="28"/>
          <w:highlight w:val="none"/>
          <w:lang w:eastAsia="zh-CN"/>
        </w:rPr>
        <w:t>全过程质量监控，建立学位论文开题、中期检查、预答辩、送审、答辩等环节的规范流程，明确导师的责任划分。</w:t>
      </w:r>
      <w:r>
        <w:rPr>
          <w:rFonts w:hint="eastAsia" w:ascii="宋体" w:hAnsi="宋体" w:eastAsia="宋体"/>
          <w:sz w:val="28"/>
          <w:szCs w:val="28"/>
          <w:highlight w:val="none"/>
          <w:lang w:val="en-US" w:eastAsia="zh-CN"/>
        </w:rPr>
        <w:t>建立导师</w:t>
      </w:r>
      <w:r>
        <w:rPr>
          <w:rFonts w:hint="eastAsia" w:ascii="宋体" w:hAnsi="宋体" w:eastAsia="宋体"/>
          <w:sz w:val="28"/>
          <w:szCs w:val="28"/>
          <w:highlight w:val="none"/>
          <w:lang w:eastAsia="zh-CN"/>
        </w:rPr>
        <w:t>多维考核评价体系，考核内容包括科研能力、培养质量（论文盲审通过率、答辩结果等）、学生评价（师德师风、指导能力）、学院评价等。</w:t>
      </w:r>
      <w:r>
        <w:rPr>
          <w:rFonts w:hint="eastAsia" w:ascii="宋体" w:hAnsi="宋体" w:eastAsia="宋体"/>
          <w:sz w:val="28"/>
          <w:szCs w:val="28"/>
          <w:highlight w:val="none"/>
          <w:lang w:val="en-US" w:eastAsia="zh-CN"/>
        </w:rPr>
        <w:t>进行</w:t>
      </w:r>
      <w:r>
        <w:rPr>
          <w:rFonts w:hint="eastAsia" w:ascii="宋体" w:hAnsi="宋体" w:eastAsia="宋体"/>
          <w:sz w:val="28"/>
          <w:szCs w:val="28"/>
          <w:highlight w:val="none"/>
          <w:lang w:eastAsia="zh-CN"/>
        </w:rPr>
        <w:t>学术成果与过程管理，强调学术成果的真实性与创新性，要求导师对论文数据、规范性负责。</w:t>
      </w:r>
      <w:r>
        <w:rPr>
          <w:rFonts w:hint="eastAsia" w:ascii="宋体" w:hAnsi="宋体" w:eastAsia="宋体"/>
          <w:sz w:val="28"/>
          <w:szCs w:val="28"/>
          <w:highlight w:val="none"/>
          <w:lang w:val="en-US" w:eastAsia="zh-CN"/>
        </w:rPr>
        <w:t>对导师进行</w:t>
      </w:r>
      <w:r>
        <w:rPr>
          <w:rFonts w:hint="eastAsia" w:ascii="宋体" w:hAnsi="宋体" w:eastAsia="宋体"/>
          <w:sz w:val="28"/>
          <w:szCs w:val="28"/>
          <w:highlight w:val="none"/>
          <w:lang w:eastAsia="zh-CN"/>
        </w:rPr>
        <w:t>岗前培训与持续教育，提升专业素养和教学能力，促进</w:t>
      </w:r>
      <w:r>
        <w:rPr>
          <w:rFonts w:hint="eastAsia" w:ascii="宋体" w:hAnsi="宋体" w:eastAsia="宋体"/>
          <w:sz w:val="28"/>
          <w:szCs w:val="28"/>
          <w:highlight w:val="none"/>
          <w:lang w:val="en-US" w:eastAsia="zh-CN"/>
        </w:rPr>
        <w:t>校外校内</w:t>
      </w:r>
      <w:r>
        <w:rPr>
          <w:rFonts w:hint="eastAsia" w:ascii="宋体" w:hAnsi="宋体" w:eastAsia="宋体"/>
          <w:sz w:val="28"/>
          <w:szCs w:val="28"/>
          <w:highlight w:val="none"/>
          <w:lang w:eastAsia="zh-CN"/>
        </w:rPr>
        <w:t>合作，为研究生提供更多学术资源和创新机会。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7</w:t>
      </w:r>
      <w:r>
        <w:rPr>
          <w:rFonts w:hint="eastAsia" w:ascii="宋体" w:hAnsi="宋体" w:eastAsia="宋体"/>
          <w:sz w:val="28"/>
          <w:szCs w:val="28"/>
          <w:highlight w:val="none"/>
          <w:lang w:eastAsia="zh-CN"/>
        </w:rPr>
        <w:t>）学风建设</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eastAsia="zh-CN"/>
        </w:rPr>
      </w:pPr>
      <w:r>
        <w:rPr>
          <w:rFonts w:hint="eastAsia" w:ascii="宋体" w:hAnsi="宋体" w:eastAsia="宋体"/>
          <w:b/>
          <w:bCs/>
          <w:sz w:val="28"/>
          <w:szCs w:val="28"/>
          <w:highlight w:val="none"/>
          <w:lang w:eastAsia="zh-CN"/>
        </w:rPr>
        <w:t>加强学术诚信培训教育。</w:t>
      </w:r>
      <w:r>
        <w:rPr>
          <w:rFonts w:hint="eastAsia" w:ascii="宋体" w:hAnsi="宋体" w:eastAsia="宋体"/>
          <w:sz w:val="28"/>
          <w:szCs w:val="28"/>
          <w:highlight w:val="none"/>
          <w:lang w:eastAsia="zh-CN"/>
        </w:rPr>
        <w:t>入学之初对学生进行学风教育，签署学术承诺书，并通过论文写作指导课程的设立，强化研究生的学术写作能力，同时培养其严谨的学术态度。日常教育中，以研究生党支部</w:t>
      </w:r>
      <w:r>
        <w:rPr>
          <w:rFonts w:hint="eastAsia" w:ascii="宋体" w:hAnsi="宋体" w:eastAsia="宋体"/>
          <w:sz w:val="28"/>
          <w:szCs w:val="28"/>
          <w:highlight w:val="none"/>
          <w:lang w:val="en-US" w:eastAsia="zh-CN"/>
        </w:rPr>
        <w:t>建设</w:t>
      </w:r>
      <w:r>
        <w:rPr>
          <w:rFonts w:hint="eastAsia" w:ascii="宋体" w:hAnsi="宋体" w:eastAsia="宋体"/>
          <w:sz w:val="28"/>
          <w:szCs w:val="28"/>
          <w:highlight w:val="none"/>
          <w:lang w:eastAsia="zh-CN"/>
        </w:rPr>
        <w:t>为抓手，每月以主题党日、党员大会等方式开展政治理论专题学习及学术道德规范相关内容学习，切实发挥研究生党支部的战斗堡垒作用。临床实践中的科研诚信教育与临床工作中的医德医风教育紧密结合，</w:t>
      </w:r>
      <w:r>
        <w:rPr>
          <w:rFonts w:hint="eastAsia" w:ascii="宋体" w:hAnsi="宋体" w:eastAsia="宋体"/>
          <w:sz w:val="28"/>
          <w:szCs w:val="28"/>
          <w:highlight w:val="none"/>
          <w:lang w:val="en-US" w:eastAsia="zh-CN"/>
        </w:rPr>
        <w:t>促进医德学风同步提升</w:t>
      </w:r>
      <w:r>
        <w:rPr>
          <w:rFonts w:hint="eastAsia" w:ascii="宋体" w:hAnsi="宋体" w:eastAsia="宋体"/>
          <w:sz w:val="28"/>
          <w:szCs w:val="28"/>
          <w:highlight w:val="none"/>
          <w:lang w:eastAsia="zh-CN"/>
        </w:rPr>
        <w:t>。将科研道德和学术诚信教育纳入日常课程体系，贯穿研究生培养过程和考核环节，对研究生公开发表的论文及学位论文进行论文查重、原始数据登记及审核</w:t>
      </w:r>
      <w:r>
        <w:rPr>
          <w:rFonts w:hint="eastAsia" w:ascii="宋体" w:hAnsi="宋体" w:eastAsia="宋体"/>
          <w:sz w:val="28"/>
          <w:szCs w:val="28"/>
          <w:highlight w:val="none"/>
          <w:lang w:val="en-US" w:eastAsia="zh-CN"/>
        </w:rPr>
        <w:t>工作</w:t>
      </w:r>
      <w:r>
        <w:rPr>
          <w:rFonts w:hint="eastAsia" w:ascii="宋体" w:hAnsi="宋体" w:eastAsia="宋体"/>
          <w:sz w:val="28"/>
          <w:szCs w:val="28"/>
          <w:highlight w:val="none"/>
          <w:lang w:eastAsia="zh-CN"/>
        </w:rPr>
        <w:t>，签定“科研诚信承诺书”以确保研究真实性、可靠性。</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sz w:val="28"/>
          <w:szCs w:val="28"/>
          <w:highlight w:val="none"/>
          <w:lang w:val="en-US" w:eastAsia="zh-CN"/>
        </w:rPr>
      </w:pPr>
      <w:r>
        <w:rPr>
          <w:rFonts w:hint="eastAsia" w:ascii="宋体" w:hAnsi="宋体" w:eastAsia="宋体"/>
          <w:b/>
          <w:bCs/>
          <w:sz w:val="28"/>
          <w:szCs w:val="28"/>
          <w:highlight w:val="none"/>
          <w:lang w:eastAsia="zh-CN"/>
        </w:rPr>
        <w:t>健全学术不端预防机制。</w:t>
      </w:r>
      <w:r>
        <w:rPr>
          <w:rFonts w:hint="eastAsia" w:ascii="宋体" w:hAnsi="宋体" w:eastAsia="宋体"/>
          <w:sz w:val="28"/>
          <w:szCs w:val="28"/>
          <w:highlight w:val="none"/>
          <w:lang w:eastAsia="zh-CN"/>
        </w:rPr>
        <w:t>根据《高等学校预防与处理学术不端行为办法》等文件，建立完善的学风监督与惩戒机制，对学术不端行为采取零容忍态度。当出现严重学术不端行为时，将对该生处以缓毕业或不予授予学位</w:t>
      </w:r>
      <w:r>
        <w:rPr>
          <w:rFonts w:hint="eastAsia" w:ascii="宋体" w:hAnsi="宋体" w:eastAsia="宋体"/>
          <w:sz w:val="28"/>
          <w:szCs w:val="28"/>
          <w:highlight w:val="none"/>
          <w:lang w:val="en-US" w:eastAsia="zh-CN"/>
        </w:rPr>
        <w:t>处罚</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对相关</w:t>
      </w:r>
      <w:r>
        <w:rPr>
          <w:rFonts w:hint="eastAsia" w:ascii="宋体" w:hAnsi="宋体" w:eastAsia="宋体"/>
          <w:sz w:val="28"/>
          <w:szCs w:val="28"/>
          <w:highlight w:val="none"/>
          <w:lang w:eastAsia="zh-CN"/>
        </w:rPr>
        <w:t>导师停招1年以上</w:t>
      </w:r>
      <w:r>
        <w:rPr>
          <w:rFonts w:hint="eastAsia" w:ascii="宋体" w:hAnsi="宋体" w:eastAsia="宋体"/>
          <w:sz w:val="28"/>
          <w:szCs w:val="28"/>
          <w:highlight w:val="none"/>
          <w:lang w:val="en-US" w:eastAsia="zh-CN"/>
        </w:rPr>
        <w:t>处罚</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对相关</w:t>
      </w:r>
      <w:r>
        <w:rPr>
          <w:rFonts w:hint="eastAsia" w:ascii="宋体" w:hAnsi="宋体" w:eastAsia="宋体"/>
          <w:sz w:val="28"/>
          <w:szCs w:val="28"/>
          <w:highlight w:val="none"/>
          <w:lang w:eastAsia="zh-CN"/>
        </w:rPr>
        <w:t>开题专家组和答辩委员会专家2年内不能再作为专家参加我校的研究生开题、答辩会</w:t>
      </w:r>
      <w:r>
        <w:rPr>
          <w:rFonts w:hint="eastAsia" w:ascii="宋体" w:hAnsi="宋体" w:eastAsia="宋体"/>
          <w:sz w:val="28"/>
          <w:szCs w:val="28"/>
          <w:highlight w:val="none"/>
          <w:lang w:val="en-US" w:eastAsia="zh-CN"/>
        </w:rPr>
        <w:t>处罚</w:t>
      </w:r>
      <w:r>
        <w:rPr>
          <w:rFonts w:hint="eastAsia" w:ascii="宋体" w:hAnsi="宋体" w:eastAsia="宋体"/>
          <w:sz w:val="28"/>
          <w:szCs w:val="28"/>
          <w:highlight w:val="none"/>
          <w:lang w:eastAsia="zh-CN"/>
        </w:rPr>
        <w:t>，同时该学科（专业）所有研究生论文将作为重点对象连续3年</w:t>
      </w:r>
      <w:r>
        <w:rPr>
          <w:rFonts w:hint="eastAsia" w:ascii="宋体" w:hAnsi="宋体" w:eastAsia="宋体"/>
          <w:sz w:val="28"/>
          <w:szCs w:val="28"/>
          <w:highlight w:val="none"/>
          <w:lang w:val="en-US" w:eastAsia="zh-CN"/>
        </w:rPr>
        <w:t>进行</w:t>
      </w:r>
      <w:r>
        <w:rPr>
          <w:rFonts w:hint="eastAsia" w:ascii="宋体" w:hAnsi="宋体" w:eastAsia="宋体"/>
          <w:sz w:val="28"/>
          <w:szCs w:val="28"/>
          <w:highlight w:val="none"/>
          <w:lang w:eastAsia="zh-CN"/>
        </w:rPr>
        <w:t>重点抽检。</w:t>
      </w:r>
      <w:r>
        <w:rPr>
          <w:rFonts w:hint="eastAsia" w:ascii="宋体" w:hAnsi="宋体" w:eastAsia="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u w:val="none"/>
          <w:lang w:eastAsia="zh-CN"/>
        </w:rPr>
      </w:pPr>
      <w:r>
        <w:rPr>
          <w:rFonts w:hint="eastAsia" w:ascii="宋体" w:hAnsi="宋体" w:eastAsia="宋体"/>
          <w:sz w:val="28"/>
          <w:szCs w:val="28"/>
          <w:highlight w:val="none"/>
          <w:u w:val="none"/>
          <w:lang w:eastAsia="zh-CN"/>
        </w:rPr>
        <w:t>（</w:t>
      </w:r>
      <w:r>
        <w:rPr>
          <w:rFonts w:hint="eastAsia" w:ascii="宋体" w:hAnsi="宋体" w:eastAsia="宋体"/>
          <w:sz w:val="28"/>
          <w:szCs w:val="28"/>
          <w:highlight w:val="none"/>
          <w:u w:val="none"/>
          <w:lang w:val="en-US" w:eastAsia="zh-CN"/>
        </w:rPr>
        <w:t>8</w:t>
      </w:r>
      <w:r>
        <w:rPr>
          <w:rFonts w:hint="eastAsia" w:ascii="宋体" w:hAnsi="宋体" w:eastAsia="宋体"/>
          <w:sz w:val="28"/>
          <w:szCs w:val="28"/>
          <w:highlight w:val="none"/>
          <w:u w:val="none"/>
          <w:lang w:eastAsia="zh-CN"/>
        </w:rPr>
        <w:t>）管理服务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eastAsia="zh-CN"/>
        </w:rPr>
        <w:t>遵循党委领导，党政结合；教育与管理并重；统一协调，齐抓共管这三条原则，完善研究生专职管理人员队伍。研究生在6个院部管理，每个院部均有负责研究生工作的副书记和副院长，共有研究生专职管理人员51人。对管理人员定期组织开展业务培训，参加校内外组织的各类专业培训。</w:t>
      </w:r>
      <w:r>
        <w:rPr>
          <w:rFonts w:hint="eastAsia" w:ascii="宋体" w:hAnsi="宋体" w:eastAsia="宋体"/>
          <w:sz w:val="28"/>
          <w:szCs w:val="28"/>
          <w:highlight w:val="none"/>
          <w:lang w:val="en-US" w:eastAsia="zh-CN"/>
        </w:rPr>
        <w:t>本年度</w:t>
      </w:r>
      <w:r>
        <w:rPr>
          <w:rFonts w:hint="eastAsia" w:ascii="宋体" w:hAnsi="宋体" w:eastAsia="宋体"/>
          <w:sz w:val="28"/>
          <w:szCs w:val="28"/>
          <w:highlight w:val="none"/>
          <w:lang w:eastAsia="zh-CN"/>
        </w:rPr>
        <w:t>未出现任何教学管理及其他责任事故。</w:t>
      </w:r>
      <w:r>
        <w:rPr>
          <w:rFonts w:hint="eastAsia" w:ascii="宋体" w:hAnsi="宋体" w:eastAsia="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9</w:t>
      </w:r>
      <w:r>
        <w:rPr>
          <w:rFonts w:hint="eastAsia" w:ascii="宋体" w:hAnsi="宋体" w:eastAsia="宋体"/>
          <w:sz w:val="28"/>
          <w:szCs w:val="28"/>
          <w:highlight w:val="none"/>
          <w:lang w:eastAsia="zh-CN"/>
        </w:rPr>
        <w:t>）在学研究生满意度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对学位点学术学位博士研究生进行满意度调查，大部分研究生对学校研究生教育培养、学校研究生管理服务、所学专业和研究方向的总体评价满意，满意度分别为98%、96%、100%。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10</w:t>
      </w:r>
      <w:r>
        <w:rPr>
          <w:rFonts w:hint="eastAsia" w:ascii="宋体" w:hAnsi="宋体" w:eastAsia="宋体"/>
          <w:color w:val="auto"/>
          <w:sz w:val="28"/>
          <w:szCs w:val="28"/>
          <w:highlight w:val="none"/>
          <w:lang w:eastAsia="zh-CN"/>
        </w:rPr>
        <w:t>）就业发展</w:t>
      </w:r>
    </w:p>
    <w:p>
      <w:pPr>
        <w:keepNext w:val="0"/>
        <w:keepLines w:val="0"/>
        <w:pageBreakBefore w:val="0"/>
        <w:widowControl w:val="0"/>
        <w:kinsoku/>
        <w:wordWrap/>
        <w:overflowPunct/>
        <w:topLinePunct w:val="0"/>
        <w:autoSpaceDE/>
        <w:autoSpaceDN/>
        <w:bidi w:val="0"/>
        <w:adjustRightInd/>
        <w:snapToGrid/>
        <w:spacing w:beforeLines="-2147483648" w:afterLines="-2147483648"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1.</w:t>
      </w:r>
      <w:r>
        <w:rPr>
          <w:rFonts w:hint="eastAsia" w:ascii="宋体" w:hAnsi="宋体" w:eastAsia="宋体"/>
          <w:sz w:val="28"/>
          <w:szCs w:val="28"/>
          <w:highlight w:val="none"/>
          <w:lang w:eastAsia="zh-CN"/>
        </w:rPr>
        <w:t>建立人才需求与就业动态反馈机制</w:t>
      </w:r>
    </w:p>
    <w:p>
      <w:pPr>
        <w:keepNext w:val="0"/>
        <w:keepLines w:val="0"/>
        <w:pageBreakBefore w:val="0"/>
        <w:widowControl w:val="0"/>
        <w:kinsoku/>
        <w:wordWrap/>
        <w:overflowPunct/>
        <w:topLinePunct w:val="0"/>
        <w:autoSpaceDE/>
        <w:autoSpaceDN/>
        <w:bidi w:val="0"/>
        <w:adjustRightInd/>
        <w:snapToGrid/>
        <w:spacing w:beforeLines="-2147483648" w:afterLines="-2147483648"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学院</w:t>
      </w:r>
      <w:r>
        <w:rPr>
          <w:rFonts w:hint="eastAsia" w:ascii="宋体" w:hAnsi="宋体" w:eastAsia="宋体"/>
          <w:sz w:val="28"/>
          <w:szCs w:val="28"/>
          <w:highlight w:val="none"/>
          <w:lang w:eastAsia="zh-CN"/>
        </w:rPr>
        <w:t>通过与行业协会、医疗机构等用人单位的深度合作，定期开展人才需求调研，及时掌握行业对中医药专业人才的需求变化，建立了较为完善的人才需求与就业动态反馈机制。研究生就业去向主要是医疗卫生单位、升学、高等教育单位、国有企业、民营企业、部队等，其中医疗卫生单平均位占比72.89%，硕士研究生平均升学比例为14.35%，是研究生主要就业去向。</w:t>
      </w:r>
    </w:p>
    <w:p>
      <w:pPr>
        <w:keepNext w:val="0"/>
        <w:keepLines w:val="0"/>
        <w:pageBreakBefore w:val="0"/>
        <w:widowControl w:val="0"/>
        <w:kinsoku/>
        <w:wordWrap/>
        <w:overflowPunct/>
        <w:topLinePunct w:val="0"/>
        <w:autoSpaceDE/>
        <w:autoSpaceDN/>
        <w:bidi w:val="0"/>
        <w:adjustRightInd/>
        <w:snapToGrid/>
        <w:spacing w:beforeLines="-2147483648" w:afterLines="-2147483648"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2.</w:t>
      </w:r>
      <w:r>
        <w:rPr>
          <w:rFonts w:hint="eastAsia" w:ascii="宋体" w:hAnsi="宋体" w:eastAsia="宋体"/>
          <w:sz w:val="28"/>
          <w:szCs w:val="28"/>
          <w:highlight w:val="none"/>
          <w:lang w:eastAsia="zh-CN"/>
        </w:rPr>
        <w:t>发布人才需求和就业状况报告</w:t>
      </w:r>
    </w:p>
    <w:p>
      <w:pPr>
        <w:keepNext w:val="0"/>
        <w:keepLines w:val="0"/>
        <w:pageBreakBefore w:val="0"/>
        <w:widowControl w:val="0"/>
        <w:kinsoku/>
        <w:wordWrap/>
        <w:overflowPunct/>
        <w:topLinePunct w:val="0"/>
        <w:autoSpaceDE/>
        <w:autoSpaceDN/>
        <w:bidi w:val="0"/>
        <w:adjustRightInd/>
        <w:snapToGrid/>
        <w:spacing w:beforeLines="-2147483648" w:afterLines="-2147483648"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学院</w:t>
      </w:r>
      <w:r>
        <w:rPr>
          <w:rFonts w:hint="eastAsia" w:ascii="宋体" w:hAnsi="宋体" w:eastAsia="宋体"/>
          <w:sz w:val="28"/>
          <w:szCs w:val="28"/>
          <w:highlight w:val="none"/>
          <w:lang w:eastAsia="zh-CN"/>
        </w:rPr>
        <w:t>定期召开年级就业创业专题会议，通过学校官网、微信公众号、就业指导中心等平台发布中医药行业人才需求和就业信息，包括行业人才需求趋势、岗位分布、薪资水平、地域分布等关键信息，为研究生提供创业相关知识、求职就业技巧、职业生涯规划以及就业政策讲解等方面的指导，为学生建立良好的就业观、价值观。同时，召开用人单位宣讲会、双选会等，建立就业平台，打通就业渠道。</w:t>
      </w:r>
    </w:p>
    <w:p>
      <w:pPr>
        <w:keepNext w:val="0"/>
        <w:keepLines w:val="0"/>
        <w:pageBreakBefore w:val="0"/>
        <w:widowControl w:val="0"/>
        <w:kinsoku/>
        <w:wordWrap/>
        <w:overflowPunct/>
        <w:topLinePunct w:val="0"/>
        <w:autoSpaceDE/>
        <w:autoSpaceDN/>
        <w:bidi w:val="0"/>
        <w:adjustRightInd/>
        <w:snapToGrid/>
        <w:spacing w:beforeLines="-2147483648" w:afterLines="-2147483648"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3.</w:t>
      </w:r>
      <w:r>
        <w:rPr>
          <w:rFonts w:hint="eastAsia" w:ascii="宋体" w:hAnsi="宋体" w:eastAsia="宋体"/>
          <w:sz w:val="28"/>
          <w:szCs w:val="28"/>
          <w:highlight w:val="none"/>
          <w:lang w:eastAsia="zh-CN"/>
        </w:rPr>
        <w:t>用人单位意见反馈和毕业生发展质量调查</w:t>
      </w:r>
    </w:p>
    <w:p>
      <w:pPr>
        <w:keepNext w:val="0"/>
        <w:keepLines w:val="0"/>
        <w:pageBreakBefore w:val="0"/>
        <w:widowControl w:val="0"/>
        <w:kinsoku/>
        <w:wordWrap/>
        <w:overflowPunct/>
        <w:topLinePunct w:val="0"/>
        <w:autoSpaceDE/>
        <w:autoSpaceDN/>
        <w:bidi w:val="0"/>
        <w:adjustRightInd/>
        <w:snapToGrid/>
        <w:spacing w:beforeLines="-2147483648" w:afterLines="-2147483648" w:line="360" w:lineRule="auto"/>
        <w:ind w:firstLine="560" w:firstLineChars="200"/>
        <w:textAlignment w:val="auto"/>
        <w:rPr>
          <w:rFonts w:hint="eastAsia" w:ascii="宋体" w:hAnsi="宋体" w:eastAsia="宋体"/>
          <w:sz w:val="28"/>
          <w:szCs w:val="28"/>
          <w:highlight w:val="none"/>
          <w:lang w:eastAsia="zh-CN"/>
        </w:rPr>
      </w:pPr>
      <w:r>
        <w:rPr>
          <w:rFonts w:hint="eastAsia" w:ascii="宋体" w:hAnsi="宋体" w:eastAsia="宋体"/>
          <w:sz w:val="28"/>
          <w:szCs w:val="28"/>
          <w:highlight w:val="none"/>
          <w:lang w:val="en-US" w:eastAsia="zh-CN"/>
        </w:rPr>
        <w:t>学院</w:t>
      </w:r>
      <w:r>
        <w:rPr>
          <w:rFonts w:hint="eastAsia" w:ascii="宋体" w:hAnsi="宋体" w:eastAsia="宋体"/>
          <w:sz w:val="28"/>
          <w:szCs w:val="28"/>
          <w:highlight w:val="none"/>
          <w:lang w:eastAsia="zh-CN"/>
        </w:rPr>
        <w:t>通过电话询问、座谈会、实地走访等形式，广泛收集用人单位对毕业生专业能力、职业素养、实践能力等方面的评价，同时，开展毕业生发展质量跟踪调查，持续关注毕业生的职业发展状况，包括就业稳定性、职业晋升、薪资待遇和满意度等。将反馈意见</w:t>
      </w:r>
      <w:r>
        <w:rPr>
          <w:rFonts w:hint="eastAsia" w:ascii="宋体" w:hAnsi="宋体" w:eastAsia="宋体"/>
          <w:sz w:val="28"/>
          <w:szCs w:val="28"/>
          <w:highlight w:val="none"/>
          <w:lang w:val="en-US" w:eastAsia="zh-CN"/>
        </w:rPr>
        <w:t>及毕业生发展调查</w:t>
      </w:r>
      <w:r>
        <w:rPr>
          <w:rFonts w:hint="eastAsia" w:ascii="宋体" w:hAnsi="宋体" w:eastAsia="宋体"/>
          <w:sz w:val="28"/>
          <w:szCs w:val="28"/>
          <w:highlight w:val="none"/>
          <w:lang w:eastAsia="zh-CN"/>
        </w:rPr>
        <w:t>作为优化人才培养方案的重要依据。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六</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党建与思政教育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auto"/>
          <w:sz w:val="28"/>
          <w:szCs w:val="28"/>
          <w:highlight w:val="none"/>
        </w:rPr>
      </w:pPr>
      <w:r>
        <w:rPr>
          <w:rFonts w:hint="eastAsia" w:ascii="宋体" w:hAnsi="宋体" w:eastAsia="宋体"/>
          <w:color w:val="auto"/>
          <w:sz w:val="28"/>
          <w:szCs w:val="28"/>
          <w:highlight w:val="none"/>
        </w:rPr>
        <w:t>党建工作上，以体制机制建设为核心，加强研究生党支部建设，开展形式多样的主题教育活动，引导研究生坚定理想信念，厚植家国情怀。以学科专业建设为抓手，挖掘党建元素，激活党员意识，督促学研转换。以品牌建设为载体，打造“星火先锋”，实施党员“思想能力双提升”工程，学习科研、党建工作、作风评价“三把尺子一起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olor w:val="FF0000"/>
          <w:sz w:val="28"/>
          <w:szCs w:val="28"/>
          <w:highlight w:val="none"/>
        </w:rPr>
      </w:pPr>
      <w:r>
        <w:rPr>
          <w:rFonts w:hint="eastAsia" w:ascii="宋体" w:hAnsi="宋体" w:eastAsia="宋体"/>
          <w:color w:val="auto"/>
          <w:sz w:val="28"/>
          <w:szCs w:val="28"/>
          <w:highlight w:val="none"/>
        </w:rPr>
        <w:t>思政教育方面，加强研究生思想政治教育，将思想政治教育融入研究生培养全过程，引导研究生树立正确的世界观、人生观、价值观。一是思政理论课以《中国马克思主义与当代》为博士研究生必修课，由专职教师授课，助学生把握中国特色社会主义理论成果，坚定“四个自信”。二是开展“延泰先锋”志愿服务队等多种“第二课堂”活动，将思政与专业结合，培养红医及中医药文化精神。三是学位点强调思政融入课程，全程渗透理念，挖掘思政元素融入各阶段，提升师资思政素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bookmarkStart w:id="10" w:name="OLE_LINK14"/>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七</w:t>
      </w:r>
      <w:r>
        <w:rPr>
          <w:rFonts w:hint="eastAsia" w:ascii="宋体" w:hAnsi="宋体" w:eastAsia="宋体"/>
          <w:sz w:val="28"/>
          <w:szCs w:val="28"/>
          <w:highlight w:val="none"/>
          <w:lang w:eastAsia="zh-CN"/>
        </w:rPr>
        <w:t>）</w:t>
      </w:r>
      <w:r>
        <w:rPr>
          <w:rFonts w:hint="eastAsia" w:ascii="宋体" w:hAnsi="宋体" w:eastAsia="宋体"/>
          <w:sz w:val="28"/>
          <w:szCs w:val="28"/>
          <w:highlight w:val="none"/>
        </w:rPr>
        <w:t>社会服务能力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1.基层服务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河南中医药大学立足中医药特色优势，构建</w:t>
      </w:r>
      <w:r>
        <w:rPr>
          <w:rFonts w:hint="eastAsia" w:ascii="宋体" w:hAnsi="宋体" w:eastAsia="宋体"/>
          <w:sz w:val="28"/>
          <w:szCs w:val="28"/>
          <w:highlight w:val="none"/>
          <w:lang w:eastAsia="zh-CN"/>
        </w:rPr>
        <w:t>“</w:t>
      </w:r>
      <w:r>
        <w:rPr>
          <w:rFonts w:hint="eastAsia" w:ascii="宋体" w:hAnsi="宋体" w:eastAsia="宋体"/>
          <w:sz w:val="28"/>
          <w:szCs w:val="28"/>
          <w:highlight w:val="none"/>
        </w:rPr>
        <w:t>实践育人+社会服务</w:t>
      </w:r>
      <w:r>
        <w:rPr>
          <w:rFonts w:hint="eastAsia" w:ascii="宋体" w:hAnsi="宋体" w:eastAsia="宋体"/>
          <w:sz w:val="28"/>
          <w:szCs w:val="28"/>
          <w:highlight w:val="none"/>
          <w:lang w:eastAsia="zh-CN"/>
        </w:rPr>
        <w:t>”</w:t>
      </w:r>
      <w:r>
        <w:rPr>
          <w:rFonts w:hint="eastAsia" w:ascii="宋体" w:hAnsi="宋体" w:eastAsia="宋体"/>
          <w:sz w:val="28"/>
          <w:szCs w:val="28"/>
          <w:highlight w:val="none"/>
        </w:rPr>
        <w:t>双融共促机制，推动研究生在服务基层中彰显使命担当。打造中医药特色服务品牌，组建研究生岐黄志愿服务团，深入兰考、新县等革命老区开展"三下乡"活动，运用针灸推拿、中药辨识、体质调理等专业技术开展义诊，年均服务群众1.2万余人次；创新健康服务形式，依托附属医院社区医联体，在郑州市35个街道建立实践基地，开展</w:t>
      </w:r>
      <w:r>
        <w:rPr>
          <w:rFonts w:hint="eastAsia" w:ascii="宋体" w:hAnsi="宋体" w:eastAsia="宋体"/>
          <w:sz w:val="28"/>
          <w:szCs w:val="28"/>
          <w:highlight w:val="none"/>
          <w:lang w:eastAsia="zh-CN"/>
        </w:rPr>
        <w:t>“</w:t>
      </w:r>
      <w:r>
        <w:rPr>
          <w:rFonts w:hint="eastAsia" w:ascii="宋体" w:hAnsi="宋体" w:eastAsia="宋体"/>
          <w:sz w:val="28"/>
          <w:szCs w:val="28"/>
          <w:highlight w:val="none"/>
        </w:rPr>
        <w:t>中医养生大讲堂</w:t>
      </w:r>
      <w:r>
        <w:rPr>
          <w:rFonts w:hint="eastAsia" w:ascii="宋体" w:hAnsi="宋体" w:eastAsia="宋体"/>
          <w:sz w:val="28"/>
          <w:szCs w:val="28"/>
          <w:highlight w:val="none"/>
          <w:lang w:eastAsia="zh-CN"/>
        </w:rPr>
        <w:t>”“</w:t>
      </w:r>
      <w:r>
        <w:rPr>
          <w:rFonts w:hint="eastAsia" w:ascii="宋体" w:hAnsi="宋体" w:eastAsia="宋体"/>
          <w:sz w:val="28"/>
          <w:szCs w:val="28"/>
          <w:highlight w:val="none"/>
        </w:rPr>
        <w:t>慢性病四季调护</w:t>
      </w:r>
      <w:r>
        <w:rPr>
          <w:rFonts w:hint="eastAsia" w:ascii="宋体" w:hAnsi="宋体" w:eastAsia="宋体"/>
          <w:sz w:val="28"/>
          <w:szCs w:val="28"/>
          <w:highlight w:val="none"/>
          <w:lang w:eastAsia="zh-CN"/>
        </w:rPr>
        <w:t>”</w:t>
      </w:r>
      <w:r>
        <w:rPr>
          <w:rFonts w:hint="eastAsia" w:ascii="宋体" w:hAnsi="宋体" w:eastAsia="宋体"/>
          <w:sz w:val="28"/>
          <w:szCs w:val="28"/>
          <w:highlight w:val="none"/>
        </w:rPr>
        <w:t>等科普活动，开发八段锦教学视频、药膳食疗手册等原创健康产品；深化校地协同机制，与南阳市中医药管理局共建</w:t>
      </w:r>
      <w:r>
        <w:rPr>
          <w:rFonts w:hint="eastAsia" w:ascii="宋体" w:hAnsi="宋体" w:eastAsia="宋体"/>
          <w:sz w:val="28"/>
          <w:szCs w:val="28"/>
          <w:highlight w:val="none"/>
          <w:lang w:eastAsia="zh-CN"/>
        </w:rPr>
        <w:t>“</w:t>
      </w:r>
      <w:r>
        <w:rPr>
          <w:rFonts w:hint="eastAsia" w:ascii="宋体" w:hAnsi="宋体" w:eastAsia="宋体"/>
          <w:sz w:val="28"/>
          <w:szCs w:val="28"/>
          <w:highlight w:val="none"/>
        </w:rPr>
        <w:t>仲景硕博服务站</w:t>
      </w:r>
      <w:r>
        <w:rPr>
          <w:rFonts w:hint="eastAsia" w:ascii="宋体" w:hAnsi="宋体" w:eastAsia="宋体"/>
          <w:sz w:val="28"/>
          <w:szCs w:val="28"/>
          <w:highlight w:val="none"/>
          <w:lang w:eastAsia="zh-CN"/>
        </w:rPr>
        <w:t>”</w:t>
      </w:r>
      <w:r>
        <w:rPr>
          <w:rFonts w:hint="eastAsia" w:ascii="宋体" w:hAnsi="宋体" w:eastAsia="宋体"/>
          <w:sz w:val="28"/>
          <w:szCs w:val="28"/>
          <w:highlight w:val="none"/>
        </w:rPr>
        <w:t>，组织研究生参与艾草等道地药材产业调研，为20余家药企提供技术咨询，助推乡村振兴。近三年研究生社会实践参与率达98%，获</w:t>
      </w:r>
      <w:bookmarkStart w:id="11" w:name="OLE_LINK15"/>
      <w:r>
        <w:rPr>
          <w:rFonts w:hint="eastAsia" w:ascii="宋体" w:hAnsi="宋体" w:eastAsia="宋体"/>
          <w:sz w:val="28"/>
          <w:szCs w:val="28"/>
          <w:highlight w:val="none"/>
          <w:lang w:eastAsia="zh-CN"/>
        </w:rPr>
        <w:t>“</w:t>
      </w:r>
      <w:bookmarkEnd w:id="11"/>
      <w:r>
        <w:rPr>
          <w:rFonts w:hint="eastAsia" w:ascii="宋体" w:hAnsi="宋体" w:eastAsia="宋体"/>
          <w:sz w:val="28"/>
          <w:szCs w:val="28"/>
          <w:highlight w:val="none"/>
        </w:rPr>
        <w:t>河南省学雷锋志愿服务先进集体</w:t>
      </w:r>
      <w:bookmarkStart w:id="12" w:name="OLE_LINK16"/>
      <w:r>
        <w:rPr>
          <w:rFonts w:hint="eastAsia" w:ascii="宋体" w:hAnsi="宋体" w:eastAsia="宋体"/>
          <w:sz w:val="28"/>
          <w:szCs w:val="28"/>
          <w:highlight w:val="none"/>
          <w:lang w:eastAsia="zh-CN"/>
        </w:rPr>
        <w:t>”</w:t>
      </w:r>
      <w:bookmarkEnd w:id="12"/>
      <w:r>
        <w:rPr>
          <w:rFonts w:hint="eastAsia" w:ascii="宋体" w:hAnsi="宋体" w:eastAsia="宋体"/>
          <w:sz w:val="28"/>
          <w:szCs w:val="28"/>
          <w:highlight w:val="none"/>
        </w:rPr>
        <w:t>等省级表彰7项，真正实现了将医术送到群众家门口的育人成效。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b w:val="0"/>
          <w:bCs w:val="0"/>
          <w:sz w:val="28"/>
          <w:szCs w:val="28"/>
          <w:highlight w:val="none"/>
          <w:lang w:val="en-US" w:eastAsia="zh-CN"/>
        </w:rPr>
        <w:t>2.</w:t>
      </w:r>
      <w:r>
        <w:rPr>
          <w:rFonts w:hint="eastAsia" w:ascii="宋体" w:hAnsi="宋体" w:eastAsia="宋体"/>
          <w:b w:val="0"/>
          <w:bCs w:val="0"/>
          <w:sz w:val="28"/>
          <w:szCs w:val="28"/>
          <w:highlight w:val="none"/>
        </w:rPr>
        <w:t>科技进步</w:t>
      </w:r>
      <w:r>
        <w:rPr>
          <w:rFonts w:hint="eastAsia" w:ascii="宋体" w:hAnsi="宋体" w:eastAsia="宋体"/>
          <w:b w:val="0"/>
          <w:bCs w:val="0"/>
          <w:sz w:val="28"/>
          <w:szCs w:val="28"/>
          <w:highlight w:val="none"/>
          <w:lang w:val="en-US"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sz w:val="28"/>
          <w:szCs w:val="28"/>
          <w:highlight w:val="none"/>
          <w:lang w:val="en-US" w:eastAsia="zh-CN"/>
        </w:rPr>
      </w:pPr>
      <w:r>
        <w:rPr>
          <w:rFonts w:hint="eastAsia" w:ascii="宋体" w:hAnsi="宋体" w:eastAsia="宋体"/>
          <w:sz w:val="28"/>
          <w:szCs w:val="28"/>
          <w:highlight w:val="none"/>
        </w:rPr>
        <w:t>服务生命健康，高水平研究成绩斐然。在2024年3月22日发布的《2023年度中医医院学科（专科）学术影响力评价研究报告》中，学位点建设所在附属医院综合排名全国第八，儿科、肺病、心血管、脑病、疫病、康复、肝病7个学科入选全国学术影响力榜单前十，其中儿科、肺病位居全国第一。学位点依托国家级平台、省级重点实验室，为高质量的中医药人才培养提供平台支撑；多个国家级重大科研项目的引领下，深入研究中医药现代化发展，如开展“慢性气道疾病中西医协同防治技术与方案临床研究”、“基于冬病夏治理论的舒肺贴减少慢性气道疾病（哮喘、慢阻肺）反复发作的临床研究”等，促进中医药更好服务人民健康；牵头制定行业指南、标准，实现中医优势病种的规范化治疗、提高临床疗效；积极实现成果转化，转让关键技术、制剂、器械等成果8项，转化金额4650余万元。</w:t>
      </w:r>
      <w:r>
        <w:rPr>
          <w:rFonts w:hint="eastAsia" w:ascii="宋体" w:hAnsi="宋体" w:eastAsia="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3.社会服务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扛起“国之重器”，推进“双中心”建设。2024年，学位点建设所在附属医院在全国多家高水平医院中脱颖而出，成为全国中医领域三家之一、河南省唯一一家国家医学中心建设单位。国家医学中心基本建设总投资26.3亿元，其中中央预算内投资10亿元，总建筑面积25.5万平方米。中央预算内投资经费到账6亿元，基建工程去年9月奠基，12月开工，进入实质性“建设”阶段。业务建设以儿科、呼吸为示范，以危害人民群众健康的重大疑难疾病为重点，布局6大攻关领域18个攻关项目。国家医学中心与河南省中医药科学院初步完成架构融合，一体发展格局初步形成。在国家区域医疗中心建设方面，分2批先后派出16名管理人员、22名专家长驻项目医院，平移35项新技术，帮助输出医院获河南省区域中医专科诊疗中心建设项目，获省康复医学会科技进步一等奖1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b w:val="0"/>
          <w:bCs w:val="0"/>
          <w:sz w:val="28"/>
          <w:szCs w:val="28"/>
          <w:highlight w:val="none"/>
          <w:lang w:val="en-US" w:eastAsia="zh-CN"/>
        </w:rPr>
      </w:pPr>
      <w:r>
        <w:rPr>
          <w:rFonts w:hint="eastAsia" w:ascii="宋体" w:hAnsi="宋体" w:eastAsia="宋体"/>
          <w:b w:val="0"/>
          <w:bCs w:val="0"/>
          <w:sz w:val="28"/>
          <w:szCs w:val="28"/>
          <w:highlight w:val="none"/>
          <w:lang w:val="en-US" w:eastAsia="zh-CN"/>
        </w:rPr>
        <w:t>4.</w:t>
      </w:r>
      <w:r>
        <w:rPr>
          <w:rFonts w:hint="eastAsia" w:ascii="宋体" w:hAnsi="宋体" w:eastAsia="宋体"/>
          <w:b w:val="0"/>
          <w:bCs w:val="0"/>
          <w:sz w:val="28"/>
          <w:szCs w:val="28"/>
          <w:highlight w:val="none"/>
        </w:rPr>
        <w:t>文化建设</w:t>
      </w:r>
      <w:r>
        <w:rPr>
          <w:rFonts w:hint="eastAsia" w:ascii="宋体" w:hAnsi="宋体" w:eastAsia="宋体"/>
          <w:b w:val="0"/>
          <w:bCs w:val="0"/>
          <w:sz w:val="28"/>
          <w:szCs w:val="28"/>
          <w:highlight w:val="none"/>
          <w:lang w:val="en-US" w:eastAsia="zh-CN"/>
        </w:rPr>
        <w:t>方面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sz w:val="28"/>
          <w:szCs w:val="28"/>
          <w:highlight w:val="none"/>
        </w:rPr>
      </w:pPr>
      <w:r>
        <w:rPr>
          <w:rFonts w:hint="eastAsia" w:ascii="宋体" w:hAnsi="宋体" w:eastAsia="宋体"/>
          <w:sz w:val="28"/>
          <w:szCs w:val="28"/>
          <w:highlight w:val="none"/>
        </w:rPr>
        <w:t>以传承精华为魂，发展中原学术流派。学位点积极响应中医学术流派摸底调查工作，确定了以国医大师丁樱为代表的“豫中中医儿科学术流派”、全国名中医崔公让为代表的“河南崔氏疮疡外科学术流派”等24个学术流派。对不同流派的继承和实践，促进了百家争鸣，为中医的蓬勃发展提供有力保障。</w:t>
      </w:r>
    </w:p>
    <w:bookmarkEnd w:id="0"/>
    <w:bookmarkEnd w:id="10"/>
    <w:p>
      <w:pPr>
        <w:spacing w:after="156" w:afterLines="50" w:line="560" w:lineRule="exact"/>
        <w:ind w:firstLine="643" w:firstLineChars="200"/>
        <w:jc w:val="left"/>
        <w:rPr>
          <w:rFonts w:ascii="Times New Roman" w:hAnsi="Times New Roman" w:eastAsia="方正小标宋简体"/>
          <w:b/>
          <w:sz w:val="32"/>
          <w:szCs w:val="32"/>
        </w:rPr>
      </w:pPr>
      <w:r>
        <w:rPr>
          <w:rFonts w:hint="eastAsia" w:ascii="Times New Roman" w:hAnsi="Times New Roman" w:eastAsia="方正小标宋简体"/>
          <w:b/>
          <w:sz w:val="32"/>
          <w:szCs w:val="32"/>
        </w:rPr>
        <w:t>三、</w:t>
      </w:r>
      <w:bookmarkStart w:id="13" w:name="OLE_LINK9"/>
      <w:r>
        <w:rPr>
          <w:rFonts w:hint="eastAsia" w:ascii="Times New Roman" w:hAnsi="Times New Roman" w:eastAsia="方正小标宋简体"/>
          <w:b/>
          <w:sz w:val="32"/>
          <w:szCs w:val="32"/>
        </w:rPr>
        <w:t>学位点建设评估与分析</w:t>
      </w:r>
    </w:p>
    <w:bookmarkEnd w:id="13"/>
    <w:p>
      <w:pPr>
        <w:spacing w:line="360" w:lineRule="auto"/>
        <w:ind w:firstLine="560" w:firstLineChars="200"/>
        <w:rPr>
          <w:rFonts w:hint="default" w:ascii="宋体" w:hAnsi="宋体" w:eastAsia="宋体" w:cs="仿宋"/>
          <w:sz w:val="28"/>
          <w:szCs w:val="28"/>
          <w:lang w:val="en-US" w:eastAsia="zh-CN"/>
        </w:rPr>
      </w:pPr>
      <w:r>
        <w:rPr>
          <w:rFonts w:hint="eastAsia" w:ascii="宋体" w:hAnsi="宋体" w:eastAsia="宋体" w:cs="仿宋"/>
          <w:sz w:val="28"/>
          <w:szCs w:val="28"/>
          <w:lang w:eastAsia="zh-CN"/>
        </w:rPr>
        <w:t>（</w:t>
      </w:r>
      <w:r>
        <w:rPr>
          <w:rFonts w:hint="eastAsia" w:ascii="宋体" w:hAnsi="宋体" w:eastAsia="宋体" w:cs="仿宋"/>
          <w:sz w:val="28"/>
          <w:szCs w:val="28"/>
          <w:lang w:val="en-US" w:eastAsia="zh-CN"/>
        </w:rPr>
        <w:t>一</w:t>
      </w:r>
      <w:r>
        <w:rPr>
          <w:rFonts w:hint="eastAsia" w:ascii="宋体" w:hAnsi="宋体" w:eastAsia="宋体" w:cs="仿宋"/>
          <w:sz w:val="28"/>
          <w:szCs w:val="28"/>
          <w:lang w:eastAsia="zh-CN"/>
        </w:rPr>
        <w:t>）</w:t>
      </w:r>
      <w:r>
        <w:rPr>
          <w:rFonts w:hint="eastAsia" w:ascii="宋体" w:hAnsi="宋体" w:eastAsia="宋体" w:cs="仿宋"/>
          <w:sz w:val="28"/>
          <w:szCs w:val="28"/>
        </w:rPr>
        <w:t>建设进展</w:t>
      </w:r>
      <w:r>
        <w:rPr>
          <w:rFonts w:hint="eastAsia" w:ascii="宋体" w:hAnsi="宋体" w:eastAsia="宋体" w:cs="仿宋"/>
          <w:sz w:val="28"/>
          <w:szCs w:val="28"/>
          <w:lang w:val="en-US" w:eastAsia="zh-CN"/>
        </w:rPr>
        <w:t>及问题分析</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1.平台建设</w:t>
      </w:r>
    </w:p>
    <w:p>
      <w:pPr>
        <w:spacing w:line="360" w:lineRule="auto"/>
        <w:ind w:firstLine="562" w:firstLineChars="200"/>
        <w:rPr>
          <w:rFonts w:hint="eastAsia" w:ascii="宋体" w:hAnsi="宋体" w:eastAsia="宋体" w:cs="仿宋"/>
          <w:sz w:val="28"/>
          <w:szCs w:val="28"/>
          <w:lang w:val="en-US" w:eastAsia="zh-CN"/>
        </w:rPr>
      </w:pPr>
      <w:r>
        <w:rPr>
          <w:rFonts w:hint="eastAsia" w:ascii="宋体" w:hAnsi="宋体" w:eastAsia="宋体" w:cs="仿宋"/>
          <w:b/>
          <w:bCs/>
          <w:sz w:val="28"/>
          <w:szCs w:val="28"/>
          <w:lang w:val="en-US" w:eastAsia="zh-CN"/>
        </w:rPr>
        <w:t>国家级平台方面</w:t>
      </w:r>
      <w:r>
        <w:rPr>
          <w:rFonts w:hint="eastAsia" w:ascii="宋体" w:hAnsi="宋体" w:eastAsia="宋体" w:cs="仿宋"/>
          <w:sz w:val="28"/>
          <w:szCs w:val="28"/>
          <w:lang w:val="en-US" w:eastAsia="zh-CN"/>
        </w:rPr>
        <w:t>，拥有国家医学中心、国家中医药传承创新中心等7个国家级平台，覆盖中医临床、教学、科研全链条，为学位点发展提供强力支撑。</w:t>
      </w:r>
      <w:r>
        <w:rPr>
          <w:rFonts w:hint="eastAsia" w:ascii="宋体" w:hAnsi="宋体" w:eastAsia="宋体" w:cs="仿宋"/>
          <w:b/>
          <w:bCs/>
          <w:sz w:val="28"/>
          <w:szCs w:val="28"/>
          <w:lang w:val="en-US" w:eastAsia="zh-CN"/>
        </w:rPr>
        <w:t>学科影响力方面</w:t>
      </w:r>
      <w:r>
        <w:rPr>
          <w:rFonts w:hint="eastAsia" w:ascii="宋体" w:hAnsi="宋体" w:eastAsia="宋体" w:cs="仿宋"/>
          <w:sz w:val="28"/>
          <w:szCs w:val="28"/>
          <w:lang w:val="en-US" w:eastAsia="zh-CN"/>
        </w:rPr>
        <w:t>，第一附属医院综合排名全国第七，儿科、肺病等7个学科进入全国前十，中医儿科学、肺病方向位居全国第一，彰显学科优势。</w:t>
      </w:r>
      <w:r>
        <w:rPr>
          <w:rFonts w:hint="eastAsia" w:ascii="宋体" w:hAnsi="宋体" w:eastAsia="宋体" w:cs="仿宋"/>
          <w:b/>
          <w:bCs/>
          <w:sz w:val="28"/>
          <w:szCs w:val="28"/>
          <w:lang w:val="en-US" w:eastAsia="zh-CN"/>
        </w:rPr>
        <w:t>研究方向方面</w:t>
      </w:r>
      <w:r>
        <w:rPr>
          <w:rFonts w:hint="eastAsia" w:ascii="宋体" w:hAnsi="宋体" w:eastAsia="宋体" w:cs="仿宋"/>
          <w:sz w:val="28"/>
          <w:szCs w:val="28"/>
          <w:lang w:val="en-US" w:eastAsia="zh-CN"/>
        </w:rPr>
        <w:t>，9个研究方向特色鲜明，呼吸病、艾滋病、儿科肾病等领域国内领先，形成差异化竞争力。</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2.师资队伍建设</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导师队伍梯队不断优化，</w:t>
      </w:r>
      <w:r>
        <w:rPr>
          <w:rFonts w:hint="eastAsia" w:ascii="宋体" w:hAnsi="宋体" w:eastAsia="宋体" w:cs="仿宋"/>
          <w:sz w:val="28"/>
          <w:szCs w:val="28"/>
          <w:highlight w:val="none"/>
          <w:lang w:val="en-US" w:eastAsia="zh-CN"/>
        </w:rPr>
        <w:t>新增博导28人、硕导70人</w:t>
      </w:r>
      <w:r>
        <w:rPr>
          <w:rFonts w:hint="eastAsia" w:ascii="宋体" w:hAnsi="宋体" w:eastAsia="宋体" w:cs="仿宋"/>
          <w:sz w:val="28"/>
          <w:szCs w:val="28"/>
          <w:lang w:val="en-US" w:eastAsia="zh-CN"/>
        </w:rPr>
        <w:t>，导师团队规模达338人，正高级职称占比50%，博士学位教师占比57.1%，50岁以下占61.2%，年龄结构合理。拥有一批国医大师、长江学者、岐黄学者等领军人才，学术带头人在国家级学会担任重要职务，学科话语权显著。</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3.科研与成果转化</w:t>
      </w:r>
    </w:p>
    <w:p>
      <w:pPr>
        <w:spacing w:line="360" w:lineRule="auto"/>
        <w:ind w:firstLine="562" w:firstLineChars="200"/>
        <w:rPr>
          <w:rFonts w:hint="eastAsia" w:ascii="宋体" w:hAnsi="宋体" w:eastAsia="宋体" w:cs="仿宋"/>
          <w:sz w:val="28"/>
          <w:szCs w:val="28"/>
          <w:lang w:val="en-US" w:eastAsia="zh-CN"/>
        </w:rPr>
      </w:pPr>
      <w:r>
        <w:rPr>
          <w:rFonts w:hint="eastAsia" w:ascii="宋体" w:hAnsi="宋体" w:eastAsia="宋体" w:cs="仿宋"/>
          <w:b/>
          <w:bCs/>
          <w:sz w:val="28"/>
          <w:szCs w:val="28"/>
          <w:lang w:val="en-US" w:eastAsia="zh-CN"/>
        </w:rPr>
        <w:t>科研项目方面</w:t>
      </w:r>
      <w:r>
        <w:rPr>
          <w:rFonts w:hint="eastAsia" w:ascii="宋体" w:hAnsi="宋体" w:eastAsia="宋体" w:cs="仿宋"/>
          <w:sz w:val="28"/>
          <w:szCs w:val="28"/>
          <w:lang w:val="en-US" w:eastAsia="zh-CN"/>
        </w:rPr>
        <w:t>，获批国家级项目32项（含3项重大专项），纵向经费超9300万元，横向课题经费</w:t>
      </w:r>
      <w:r>
        <w:rPr>
          <w:rFonts w:hint="eastAsia" w:ascii="宋体" w:hAnsi="宋体" w:eastAsia="宋体" w:cs="宋体"/>
          <w:color w:val="000000"/>
          <w:kern w:val="0"/>
          <w:sz w:val="28"/>
          <w:szCs w:val="28"/>
          <w:highlight w:val="none"/>
          <w:lang w:val="en-US" w:eastAsia="zh-CN" w:bidi="ar"/>
        </w:rPr>
        <w:t>406.24</w:t>
      </w:r>
      <w:r>
        <w:rPr>
          <w:rFonts w:hint="eastAsia" w:ascii="宋体" w:hAnsi="宋体" w:eastAsia="宋体" w:cs="仿宋"/>
          <w:sz w:val="28"/>
          <w:szCs w:val="28"/>
          <w:lang w:val="en-US" w:eastAsia="zh-CN"/>
        </w:rPr>
        <w:t>万元，显示基础研究实力突出但产业合作待加强。</w:t>
      </w:r>
      <w:r>
        <w:rPr>
          <w:rFonts w:hint="eastAsia" w:ascii="宋体" w:hAnsi="宋体" w:eastAsia="宋体" w:cs="仿宋"/>
          <w:b/>
          <w:bCs/>
          <w:sz w:val="28"/>
          <w:szCs w:val="28"/>
          <w:lang w:val="en-US" w:eastAsia="zh-CN"/>
        </w:rPr>
        <w:t>成果产出方面</w:t>
      </w:r>
      <w:r>
        <w:rPr>
          <w:rFonts w:hint="eastAsia" w:ascii="宋体" w:hAnsi="宋体" w:eastAsia="宋体" w:cs="仿宋"/>
          <w:sz w:val="28"/>
          <w:szCs w:val="28"/>
          <w:lang w:val="en-US" w:eastAsia="zh-CN"/>
        </w:rPr>
        <w:t>，发表核心及SCI论文543篇，制定行业标准</w:t>
      </w:r>
      <w:r>
        <w:rPr>
          <w:rFonts w:hint="eastAsia" w:ascii="宋体" w:hAnsi="宋体" w:eastAsia="宋体" w:cs="仿宋"/>
          <w:sz w:val="28"/>
          <w:szCs w:val="28"/>
          <w:highlight w:val="none"/>
          <w:lang w:val="en-US" w:eastAsia="zh-CN"/>
        </w:rPr>
        <w:t>28</w:t>
      </w:r>
      <w:r>
        <w:rPr>
          <w:rFonts w:hint="eastAsia" w:ascii="宋体" w:hAnsi="宋体" w:eastAsia="宋体" w:cs="仿宋"/>
          <w:sz w:val="28"/>
          <w:szCs w:val="28"/>
          <w:lang w:val="en-US" w:eastAsia="zh-CN"/>
        </w:rPr>
        <w:t>项，专利41项，新药临床批件4项（转化3项），成果转化金额4650万元，体现临床转化潜力。</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4.人才培养质量</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实行全过程监控管理，建立全流程质量监控体系，论文抽检合格率100%，学术不端零容忍，学风建设成效显著。2024年博士就业率100%，主要流向高校和医疗机构，用人单位评价高，68%毕业生成长为行业骨干。</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5.社会服务与文化传承</w:t>
      </w:r>
    </w:p>
    <w:p>
      <w:pPr>
        <w:spacing w:line="360" w:lineRule="auto"/>
        <w:ind w:firstLine="560" w:firstLineChars="200"/>
        <w:rPr>
          <w:rFonts w:hint="eastAsia" w:ascii="宋体" w:hAnsi="宋体" w:eastAsia="宋体" w:cs="仿宋"/>
          <w:sz w:val="28"/>
          <w:szCs w:val="28"/>
        </w:rPr>
      </w:pPr>
      <w:r>
        <w:rPr>
          <w:rFonts w:hint="eastAsia" w:ascii="宋体" w:hAnsi="宋体" w:eastAsia="宋体" w:cs="仿宋"/>
          <w:sz w:val="28"/>
          <w:szCs w:val="28"/>
          <w:lang w:val="en-US" w:eastAsia="zh-CN"/>
        </w:rPr>
        <w:t>组建岐黄志愿服务团，年均服务群众1.2万人次，推动中医药技术下沉。挖掘24个中原学术流派（如豫中儿科、崔氏疮疡外科），促进中医文化传承与创新。</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6.问题分析</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①学科发展不均衡</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研究方向强弱分化：呼吸、儿科等方向成果丰硕，而中医外科学、方剂学等方向科研项目较少（如中医外科学仅承担国家级课题8项），资源分配需优化。</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国际化水平不足：国际合作以学术交流为主，缺乏联合实验室或重大国际合作项目，国际顶尖期刊论文占比偏低（如肺病方向SCI论文120篇，占总发表量的13.3%）。</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②科研转化效率待提升</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横向课题经费偏低：横向课题经费仅占总科研经费的1.4%，与企业合作深度不足，院内制剂转化率较低（如儿科方向66项制剂仅转化1项）。</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原创性研究不足：部分研究仍以证候标准化、疗效评价为主，中医药作用机制等基础研究需突破（如艾滋病方向聚焦证候生物学基础，但未提及新靶点发现）。</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③师资队伍结构短板</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兼职导师比例低：兼职博导仅占1.8%，学科交叉融合有限，新兴领域（如人工智能+中医）师资储备不足。</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青年导师培养压力：新增导师中副高及中级职称占比高（43.5%），科研项目竞争加剧可能导致指导精力分散。</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④研究生培养挑战</w:t>
      </w:r>
    </w:p>
    <w:p>
      <w:pPr>
        <w:spacing w:line="360" w:lineRule="auto"/>
        <w:ind w:firstLine="560" w:firstLineChars="200"/>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当前学术型博士、硕士研究生招生规模存在结构性矛盾，具体表现为年度实际招生人数与承担的科研课题总量显著失衡，受限于年度招生指标和导师资源，导致部分国家级、省部级科研项目因人力不足而进展滞后。</w:t>
      </w:r>
    </w:p>
    <w:p>
      <w:pPr>
        <w:pStyle w:val="2"/>
        <w:ind w:firstLine="560" w:firstLineChars="200"/>
        <w:rPr>
          <w:rFonts w:hint="eastAsia"/>
        </w:rPr>
      </w:pPr>
      <w:r>
        <w:rPr>
          <w:rFonts w:hint="eastAsia" w:ascii="宋体" w:hAnsi="宋体" w:eastAsia="宋体" w:cs="仿宋"/>
          <w:sz w:val="28"/>
          <w:szCs w:val="28"/>
          <w:lang w:val="en-US" w:eastAsia="zh-CN"/>
        </w:rPr>
        <w:t>（二）学位论文情况及问题分析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2024年中医学学位点持续完善学位论文质量全流程管控体系，严格执行开题论证、预答辩、双盲评审、科研原始资料审核等制度，依托AI查重技术升级与第三方盲审全覆盖（硕博论文盲审通过率分别达98.5%和100%），确保学术规范“零漏洞”。本年度河南省省级抽检及教育部国家级抽检合格率均保持100%，无“存在问题论文”，学术不端行为零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针对盲审中反馈的少数论文创新性不足、专家匹配精准度待提升等问题，学位点通过扩充分学科动态专家库、建立数字化科研档案平台、强化跨学科导师组建设等举措，推动论文质量从“形式合规”向“内涵创新”升级，为中医药高层次人才培养筑牢学术诚信与创新双底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（三）改进建议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1.优化学科布局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设立交叉学科基金，扶持弱势方向；推动人工智能、大数据与中医结合，培育新兴增长点。加强国际联合实验室建设，鼓励导师参与国际标准制定。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2.深化产教融合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搭建中医药产业联盟，与企业共建成果转化中心，优先支持儿科制剂、艾草产业等技术落地。完善横向课题激励机制，将科技成果转化纳入导师考核体系。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3.提升师资竞争力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实施“青年导师护航计划”，提供科研启动经费和教学能力培训；引进跨学科领军人才，强化兼职导师聘任。建立学科交叉导师组，推动中医与生命科学、信息技术的协同创新。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4.创新培养模式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lang w:eastAsia="zh-CN"/>
        </w:rPr>
      </w:pPr>
      <w:r>
        <w:rPr>
          <w:rFonts w:hint="eastAsia" w:ascii="宋体" w:hAnsi="宋体" w:eastAsia="宋体" w:cs="仿宋"/>
          <w:sz w:val="28"/>
          <w:szCs w:val="28"/>
        </w:rPr>
        <w:t>动态调整招生指标，建立“课题需求—招生计划”联动机制</w:t>
      </w:r>
      <w:r>
        <w:rPr>
          <w:rFonts w:hint="eastAsia" w:ascii="宋体" w:hAnsi="宋体" w:eastAsia="宋体" w:cs="仿宋"/>
          <w:sz w:val="28"/>
          <w:szCs w:val="28"/>
          <w:lang w:eastAsia="zh-CN"/>
        </w:rPr>
        <w:t>，优先向承担国家级、省部级课题的学科倾斜招生指标</w:t>
      </w:r>
      <w:r>
        <w:rPr>
          <w:rFonts w:hint="eastAsia" w:ascii="宋体" w:hAnsi="宋体" w:eastAsia="宋体" w:cs="仿宋"/>
          <w:sz w:val="28"/>
          <w:szCs w:val="28"/>
        </w:rPr>
        <w:t>。优化导师资源配置，提升培养效能</w:t>
      </w:r>
      <w:r>
        <w:rPr>
          <w:rFonts w:hint="eastAsia" w:ascii="宋体" w:hAnsi="宋体" w:eastAsia="宋体" w:cs="仿宋"/>
          <w:sz w:val="28"/>
          <w:szCs w:val="28"/>
          <w:lang w:eastAsia="zh-CN"/>
        </w:rPr>
        <w:t>，</w:t>
      </w:r>
      <w:r>
        <w:rPr>
          <w:rFonts w:hint="eastAsia" w:ascii="宋体" w:hAnsi="宋体" w:eastAsia="宋体" w:cs="仿宋"/>
          <w:sz w:val="28"/>
          <w:szCs w:val="28"/>
          <w:lang w:val="en-US" w:eastAsia="zh-CN"/>
        </w:rPr>
        <w:t>同时</w:t>
      </w:r>
      <w:r>
        <w:rPr>
          <w:rFonts w:hint="eastAsia" w:ascii="宋体" w:hAnsi="宋体" w:eastAsia="宋体" w:cs="仿宋"/>
          <w:sz w:val="28"/>
          <w:szCs w:val="28"/>
          <w:lang w:eastAsia="zh-CN"/>
        </w:rPr>
        <w:t>强化过程管理，提升培养质量。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5.强化论文质量管控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rPr>
      </w:pPr>
      <w:r>
        <w:rPr>
          <w:rFonts w:hint="eastAsia" w:ascii="宋体" w:hAnsi="宋体" w:eastAsia="宋体" w:cs="仿宋"/>
          <w:sz w:val="28"/>
          <w:szCs w:val="28"/>
        </w:rPr>
        <w:t>引入“创新性指数”评价指标，外审专家需明确论文理论或技术贡献度。建立临床研究数据共享平台，推动多中心合作，提升研究规范性与可重复性。</w:t>
      </w:r>
    </w:p>
    <w:p>
      <w:pPr>
        <w:spacing w:after="156" w:afterLines="50" w:line="560" w:lineRule="exact"/>
        <w:ind w:firstLine="643" w:firstLineChars="200"/>
        <w:jc w:val="left"/>
        <w:rPr>
          <w:rFonts w:ascii="Times New Roman" w:hAnsi="Times New Roman" w:eastAsia="方正小标宋简体"/>
          <w:b/>
          <w:sz w:val="32"/>
          <w:szCs w:val="32"/>
        </w:rPr>
      </w:pPr>
      <w:r>
        <w:rPr>
          <w:rFonts w:hint="eastAsia" w:ascii="Times New Roman" w:hAnsi="Times New Roman" w:eastAsia="方正小标宋简体"/>
          <w:b/>
          <w:sz w:val="32"/>
          <w:szCs w:val="32"/>
        </w:rPr>
        <w:t>四、下一年度建设计划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
          <w:sz w:val="28"/>
          <w:szCs w:val="28"/>
          <w:lang w:val="en-US" w:eastAsia="zh-CN"/>
        </w:rPr>
      </w:pPr>
      <w:r>
        <w:rPr>
          <w:rFonts w:hint="eastAsia" w:ascii="宋体" w:hAnsi="宋体" w:eastAsia="宋体" w:cs="仿宋"/>
          <w:sz w:val="28"/>
          <w:szCs w:val="28"/>
          <w:lang w:eastAsia="zh-CN"/>
        </w:rPr>
        <w:t>（ 1）</w:t>
      </w:r>
      <w:r>
        <w:rPr>
          <w:rFonts w:hint="eastAsia" w:ascii="宋体" w:hAnsi="宋体" w:eastAsia="宋体" w:cs="仿宋"/>
          <w:sz w:val="28"/>
          <w:szCs w:val="28"/>
          <w:lang w:val="en-US" w:eastAsia="zh-CN"/>
        </w:rPr>
        <w:t>扩大宣传，加强师资队伍建设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lang w:eastAsia="zh-CN"/>
        </w:rPr>
      </w:pPr>
      <w:r>
        <w:rPr>
          <w:rFonts w:hint="eastAsia" w:ascii="宋体" w:hAnsi="宋体" w:eastAsia="宋体" w:cs="仿宋"/>
          <w:sz w:val="28"/>
          <w:szCs w:val="28"/>
          <w:lang w:eastAsia="zh-CN"/>
        </w:rPr>
        <w:t>积极开展学科宣传工作，扩大学科影响力；改变被动等待的人才引进方式，摸清学科人才需求，了解全国学科人才状况，建立拟引进人才库，设立高层次人才引进奖；全力支持</w:t>
      </w:r>
      <w:r>
        <w:rPr>
          <w:rFonts w:hint="eastAsia" w:ascii="宋体" w:hAnsi="宋体" w:eastAsia="宋体" w:cs="仿宋"/>
          <w:sz w:val="28"/>
          <w:szCs w:val="28"/>
          <w:lang w:val="en-US" w:eastAsia="zh-CN"/>
        </w:rPr>
        <w:t>领军人才</w:t>
      </w:r>
      <w:r>
        <w:rPr>
          <w:rFonts w:hint="eastAsia" w:ascii="宋体" w:hAnsi="宋体" w:eastAsia="宋体" w:cs="仿宋"/>
          <w:sz w:val="28"/>
          <w:szCs w:val="28"/>
          <w:lang w:eastAsia="zh-CN"/>
        </w:rPr>
        <w:t>申报中国工程院院士；引进培养4 名学术带头人，实现杰青人才引培突破。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lang w:eastAsia="zh-CN"/>
        </w:rPr>
      </w:pPr>
      <w:r>
        <w:rPr>
          <w:rFonts w:hint="eastAsia" w:ascii="宋体" w:hAnsi="宋体" w:eastAsia="宋体" w:cs="仿宋"/>
          <w:sz w:val="28"/>
          <w:szCs w:val="28"/>
          <w:lang w:eastAsia="zh-CN"/>
        </w:rPr>
        <w:t>（2）整合资源，促进成果产出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lang w:eastAsia="zh-CN"/>
        </w:rPr>
      </w:pPr>
      <w:r>
        <w:rPr>
          <w:rFonts w:hint="eastAsia" w:ascii="宋体" w:hAnsi="宋体" w:eastAsia="宋体" w:cs="仿宋"/>
          <w:sz w:val="28"/>
          <w:szCs w:val="28"/>
          <w:lang w:eastAsia="zh-CN"/>
        </w:rPr>
        <w:t>汇集学校优势资源，全力建设国家医学中心、国家区域专科诊疗中心，积极申报筹建国家级重点实验室，助力河南省中医药科学院建设。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lang w:eastAsia="zh-CN"/>
        </w:rPr>
      </w:pPr>
      <w:r>
        <w:rPr>
          <w:rFonts w:hint="eastAsia" w:ascii="宋体" w:hAnsi="宋体" w:eastAsia="宋体" w:cs="仿宋"/>
          <w:sz w:val="28"/>
          <w:szCs w:val="28"/>
          <w:lang w:eastAsia="zh-CN"/>
        </w:rPr>
        <w:t>依托大平台，设置开放性课题，加强交流合作和协同创新；建立标志性成果任务揭榜挂帅制，开展有组织科研，实施标志性成果奖励制度；全力建设交叉学科，实现学术增长点的新突破；继续加强学术积累，争取国家科研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lang w:eastAsia="zh-CN"/>
        </w:rPr>
      </w:pPr>
      <w:r>
        <w:rPr>
          <w:rFonts w:hint="eastAsia" w:ascii="宋体" w:hAnsi="宋体" w:eastAsia="宋体" w:cs="仿宋"/>
          <w:sz w:val="28"/>
          <w:szCs w:val="28"/>
          <w:lang w:eastAsia="zh-CN"/>
        </w:rPr>
        <w:t>（3）突出临床，提升服务能力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lang w:eastAsia="zh-CN"/>
        </w:rPr>
      </w:pPr>
      <w:r>
        <w:rPr>
          <w:rFonts w:hint="eastAsia" w:ascii="宋体" w:hAnsi="宋体" w:eastAsia="宋体" w:cs="仿宋"/>
          <w:sz w:val="28"/>
          <w:szCs w:val="28"/>
          <w:lang w:eastAsia="zh-CN"/>
        </w:rPr>
        <w:t>发挥临床研究优势，开展集中攻关，加强标准/指南的制定、中药新药研发和技术创新，提升临床服务水平；加强校企合作，鼓励横向合作研究，增强研究成果的针对性和转化能力，助推河南经济社会发展。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
          <w:sz w:val="28"/>
          <w:szCs w:val="28"/>
          <w:lang w:eastAsia="zh-CN"/>
        </w:rPr>
      </w:pPr>
      <w:r>
        <w:rPr>
          <w:rFonts w:hint="eastAsia" w:ascii="宋体" w:hAnsi="宋体" w:eastAsia="宋体" w:cs="仿宋"/>
          <w:sz w:val="28"/>
          <w:szCs w:val="28"/>
          <w:lang w:eastAsia="zh-CN"/>
        </w:rPr>
        <w:t>（4）强化特色，打造仲景品牌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pPr>
      <w:r>
        <w:rPr>
          <w:rFonts w:hint="eastAsia" w:ascii="宋体" w:hAnsi="宋体" w:eastAsia="宋体" w:cs="仿宋"/>
          <w:sz w:val="28"/>
          <w:szCs w:val="28"/>
          <w:lang w:eastAsia="zh-CN"/>
        </w:rPr>
        <w:t>强化有组织科研，增强优势领域研究工作的系统性，以方向优势强化学科特色。探索仲景学术和文化的渊源和内涵，实施“仲景特色教学质量工程计划”，筹建仲景临床基地，开展以仲景方药为主的院内制剂研发；建立完善“张仲景传承与创新中心”“河南仲景方药研究重点实验室”“河南省仲景方药工程研究中心”；打造具有中原特色的中医药文化传承创新基地；与马来西亚管理科学大学建立“中国-马来西亚仲景中医药中心”，积极参加 “翻译河南”工程，助推“一带一路”健康卫生行动，促进仲景文化</w:t>
      </w:r>
      <w:r>
        <w:rPr>
          <w:rFonts w:hint="eastAsia" w:ascii="宋体" w:hAnsi="宋体" w:eastAsia="宋体" w:cs="仿宋"/>
          <w:sz w:val="28"/>
          <w:szCs w:val="28"/>
          <w:lang w:val="en-US" w:eastAsia="zh-CN"/>
        </w:rPr>
        <w:t>传承。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1MWU0NmFkMGY4YmMyNzE1MzY0Yzg3MGI1NGYyZmEifQ=="/>
  </w:docVars>
  <w:rsids>
    <w:rsidRoot w:val="00000000"/>
    <w:rsid w:val="00697BBB"/>
    <w:rsid w:val="07CD6512"/>
    <w:rsid w:val="07F37858"/>
    <w:rsid w:val="09B846EB"/>
    <w:rsid w:val="09DC5581"/>
    <w:rsid w:val="0B1F7084"/>
    <w:rsid w:val="0EE94AEE"/>
    <w:rsid w:val="0F661D60"/>
    <w:rsid w:val="10EA1EE2"/>
    <w:rsid w:val="11064E7F"/>
    <w:rsid w:val="11B628AB"/>
    <w:rsid w:val="123F781D"/>
    <w:rsid w:val="12513CEE"/>
    <w:rsid w:val="13BD0960"/>
    <w:rsid w:val="15084153"/>
    <w:rsid w:val="15400301"/>
    <w:rsid w:val="154B0A80"/>
    <w:rsid w:val="15F72D2D"/>
    <w:rsid w:val="164231A7"/>
    <w:rsid w:val="16650CAF"/>
    <w:rsid w:val="18DE3125"/>
    <w:rsid w:val="19923A79"/>
    <w:rsid w:val="1DFD5239"/>
    <w:rsid w:val="1FC5402E"/>
    <w:rsid w:val="20407547"/>
    <w:rsid w:val="209B557A"/>
    <w:rsid w:val="20E25CDA"/>
    <w:rsid w:val="229D6DB5"/>
    <w:rsid w:val="22E177D9"/>
    <w:rsid w:val="2496512A"/>
    <w:rsid w:val="25167467"/>
    <w:rsid w:val="273A4F03"/>
    <w:rsid w:val="28EF0F00"/>
    <w:rsid w:val="29780915"/>
    <w:rsid w:val="29D43FC5"/>
    <w:rsid w:val="29EE25AF"/>
    <w:rsid w:val="2A5A558B"/>
    <w:rsid w:val="2A6865C2"/>
    <w:rsid w:val="2CCC698C"/>
    <w:rsid w:val="2CF02FEB"/>
    <w:rsid w:val="2E215C56"/>
    <w:rsid w:val="2F844B7D"/>
    <w:rsid w:val="2FE12C6D"/>
    <w:rsid w:val="30FC3F6A"/>
    <w:rsid w:val="31A412AE"/>
    <w:rsid w:val="32BE45E8"/>
    <w:rsid w:val="34037622"/>
    <w:rsid w:val="34AB1128"/>
    <w:rsid w:val="35302C53"/>
    <w:rsid w:val="357A576A"/>
    <w:rsid w:val="368C170D"/>
    <w:rsid w:val="3AC450AD"/>
    <w:rsid w:val="3BAF36EF"/>
    <w:rsid w:val="3C645851"/>
    <w:rsid w:val="3D631A05"/>
    <w:rsid w:val="3DED56C2"/>
    <w:rsid w:val="3FD837EA"/>
    <w:rsid w:val="40493829"/>
    <w:rsid w:val="41150D30"/>
    <w:rsid w:val="42442526"/>
    <w:rsid w:val="432642EF"/>
    <w:rsid w:val="43370762"/>
    <w:rsid w:val="45FC7C9C"/>
    <w:rsid w:val="47C17BE3"/>
    <w:rsid w:val="47ED5489"/>
    <w:rsid w:val="47FD7899"/>
    <w:rsid w:val="48E53A08"/>
    <w:rsid w:val="49A52297"/>
    <w:rsid w:val="49B17433"/>
    <w:rsid w:val="49CF1939"/>
    <w:rsid w:val="4A4256B8"/>
    <w:rsid w:val="4B4A2C75"/>
    <w:rsid w:val="4ED34988"/>
    <w:rsid w:val="504B5115"/>
    <w:rsid w:val="53E72A34"/>
    <w:rsid w:val="55440078"/>
    <w:rsid w:val="55A27564"/>
    <w:rsid w:val="5665308B"/>
    <w:rsid w:val="56956551"/>
    <w:rsid w:val="56D67BDB"/>
    <w:rsid w:val="57E51B24"/>
    <w:rsid w:val="585D65AD"/>
    <w:rsid w:val="5A3C3419"/>
    <w:rsid w:val="5C14118E"/>
    <w:rsid w:val="5C2C6BFE"/>
    <w:rsid w:val="5ED11205"/>
    <w:rsid w:val="5F58626F"/>
    <w:rsid w:val="5FDA624B"/>
    <w:rsid w:val="603D5055"/>
    <w:rsid w:val="62A1407A"/>
    <w:rsid w:val="648D7A20"/>
    <w:rsid w:val="65306AB5"/>
    <w:rsid w:val="659B6461"/>
    <w:rsid w:val="65B0518E"/>
    <w:rsid w:val="6650784E"/>
    <w:rsid w:val="6A62792B"/>
    <w:rsid w:val="6BF74BFB"/>
    <w:rsid w:val="6E591C7B"/>
    <w:rsid w:val="6E935777"/>
    <w:rsid w:val="6FEB5428"/>
    <w:rsid w:val="71916EA7"/>
    <w:rsid w:val="721C50E5"/>
    <w:rsid w:val="7229500E"/>
    <w:rsid w:val="749331CE"/>
    <w:rsid w:val="76F739F2"/>
    <w:rsid w:val="77076D4B"/>
    <w:rsid w:val="77BE06B3"/>
    <w:rsid w:val="78291F75"/>
    <w:rsid w:val="78570980"/>
    <w:rsid w:val="78AC5B6B"/>
    <w:rsid w:val="78CA0352"/>
    <w:rsid w:val="7A2F5884"/>
    <w:rsid w:val="7D0C5C16"/>
    <w:rsid w:val="7EFA4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qFormat/>
    <w:uiPriority w:val="9"/>
    <w:pPr>
      <w:keepNext/>
      <w:keepLines/>
      <w:spacing w:before="20" w:beforeLines="20" w:after="20" w:afterLines="20" w:line="240" w:lineRule="auto"/>
      <w:outlineLvl w:val="2"/>
    </w:pPr>
    <w:rPr>
      <w:rFonts w:eastAsia="方正仿宋简体" w:cs="Times New Roman"/>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9194</Words>
  <Characters>9547</Characters>
  <Lines>0</Lines>
  <Paragraphs>0</Paragraphs>
  <TotalTime>1</TotalTime>
  <ScaleCrop>false</ScaleCrop>
  <LinksUpToDate>false</LinksUpToDate>
  <CharactersWithSpaces>9579</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2025-03-28T06:38:03Z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F05744A28CF743D7BEBB8127B40B2C8D</vt:lpwstr>
  </property>
  <property fmtid="{D5CDD505-2E9C-101B-9397-08002B2CF9AE}" pid="4" name="KSOTemplateDocerSaveRecord">
    <vt:lpwstr>eyJoZGlkIjoiNjhkZjg5YTc2YzE4NTc0YWNkMzYzMTdiMzZjY2I5NGEifQ==</vt:lpwstr>
  </property>
</Properties>
</file>