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11397E8">
      <w:pPr>
        <w:spacing w:after="156" w:afterLines="50" w:line="560" w:lineRule="exact"/>
        <w:jc w:val="center"/>
        <w:rPr>
          <w:rFonts w:ascii="Times New Roman" w:hAnsi="Times New Roman" w:eastAsia="方正小标宋简体"/>
          <w:b/>
          <w:sz w:val="44"/>
          <w:szCs w:val="44"/>
        </w:rPr>
      </w:pPr>
    </w:p>
    <w:p w14:paraId="22D9462A">
      <w:pPr>
        <w:pStyle w:val="4"/>
      </w:pPr>
    </w:p>
    <w:p w14:paraId="1EB98289">
      <w:pPr>
        <w:spacing w:after="156" w:afterLines="50" w:line="560" w:lineRule="exact"/>
        <w:jc w:val="center"/>
        <w:rPr>
          <w:rFonts w:ascii="Times New Roman" w:hAnsi="Times New Roman" w:eastAsia="方正小标宋简体"/>
          <w:b/>
          <w:sz w:val="44"/>
          <w:szCs w:val="44"/>
        </w:rPr>
      </w:pPr>
    </w:p>
    <w:p w14:paraId="57206B3F">
      <w:pPr>
        <w:spacing w:after="156" w:afterLines="50" w:line="560" w:lineRule="exact"/>
        <w:jc w:val="center"/>
        <w:rPr>
          <w:rFonts w:ascii="Times New Roman" w:hAnsi="Times New Roman" w:eastAsia="方正小标宋简体"/>
          <w:b/>
          <w:sz w:val="52"/>
          <w:szCs w:val="52"/>
        </w:rPr>
      </w:pPr>
    </w:p>
    <w:p w14:paraId="21F5583E">
      <w:pPr>
        <w:spacing w:after="156" w:afterLines="50" w:line="560" w:lineRule="exact"/>
        <w:jc w:val="center"/>
        <w:rPr>
          <w:rFonts w:ascii="Times New Roman" w:hAnsi="Times New Roman" w:eastAsia="方正小标宋简体"/>
          <w:b/>
          <w:sz w:val="52"/>
          <w:szCs w:val="52"/>
        </w:rPr>
      </w:pPr>
      <w:r>
        <w:rPr>
          <w:rFonts w:ascii="Times New Roman" w:hAnsi="Times New Roman" w:eastAsia="方正小标宋简体"/>
          <w:b/>
          <w:sz w:val="52"/>
          <w:szCs w:val="52"/>
        </w:rPr>
        <w:t>学位授权点</w:t>
      </w:r>
      <w:r>
        <w:rPr>
          <w:rFonts w:hint="eastAsia" w:ascii="Times New Roman" w:hAnsi="Times New Roman" w:eastAsia="方正小标宋简体"/>
          <w:b/>
          <w:sz w:val="52"/>
          <w:szCs w:val="52"/>
        </w:rPr>
        <w:t>建设年度</w:t>
      </w:r>
      <w:r>
        <w:rPr>
          <w:rFonts w:ascii="Times New Roman" w:hAnsi="Times New Roman" w:eastAsia="方正小标宋简体"/>
          <w:b/>
          <w:sz w:val="52"/>
          <w:szCs w:val="52"/>
        </w:rPr>
        <w:t>报告</w:t>
      </w:r>
    </w:p>
    <w:p w14:paraId="50F5619C">
      <w:pPr>
        <w:spacing w:after="156" w:afterLines="50" w:line="560" w:lineRule="exact"/>
        <w:jc w:val="center"/>
        <w:rPr>
          <w:rFonts w:ascii="Times New Roman" w:hAnsi="Times New Roman" w:eastAsia="方正小标宋简体"/>
          <w:b/>
          <w:sz w:val="44"/>
          <w:szCs w:val="44"/>
        </w:rPr>
      </w:pPr>
      <w:r>
        <w:rPr>
          <w:rFonts w:hint="eastAsia" w:ascii="Times New Roman" w:hAnsi="Times New Roman" w:eastAsia="方正小标宋简体"/>
          <w:b/>
          <w:sz w:val="44"/>
          <w:szCs w:val="44"/>
        </w:rPr>
        <w:t>（2</w:t>
      </w:r>
      <w:r>
        <w:rPr>
          <w:rFonts w:ascii="Times New Roman" w:hAnsi="Times New Roman" w:eastAsia="方正小标宋简体"/>
          <w:b/>
          <w:sz w:val="44"/>
          <w:szCs w:val="44"/>
        </w:rPr>
        <w:t>0</w:t>
      </w:r>
      <w:r>
        <w:rPr>
          <w:rFonts w:hint="eastAsia" w:ascii="Times New Roman" w:hAnsi="Times New Roman" w:eastAsia="方正小标宋简体"/>
          <w:b/>
          <w:sz w:val="44"/>
          <w:szCs w:val="44"/>
          <w:lang w:val="en-US" w:eastAsia="zh-CN"/>
        </w:rPr>
        <w:t>23</w:t>
      </w:r>
      <w:r>
        <w:rPr>
          <w:rFonts w:hint="eastAsia" w:ascii="Times New Roman" w:hAnsi="Times New Roman" w:eastAsia="方正小标宋简体"/>
          <w:b/>
          <w:sz w:val="44"/>
          <w:szCs w:val="44"/>
        </w:rPr>
        <w:t>年）</w:t>
      </w:r>
    </w:p>
    <w:p w14:paraId="561CA327">
      <w:pPr>
        <w:spacing w:after="156" w:afterLines="50" w:line="560" w:lineRule="exact"/>
        <w:jc w:val="center"/>
        <w:rPr>
          <w:rFonts w:ascii="Times New Roman" w:hAnsi="Times New Roman" w:eastAsia="方正小标宋简体"/>
          <w:b/>
          <w:sz w:val="44"/>
          <w:szCs w:val="44"/>
        </w:rPr>
      </w:pPr>
    </w:p>
    <w:tbl>
      <w:tblPr>
        <w:tblStyle w:val="10"/>
        <w:tblW w:w="5335" w:type="dxa"/>
        <w:tblInd w:w="172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0"/>
        <w:gridCol w:w="3175"/>
      </w:tblGrid>
      <w:tr w14:paraId="7525192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60" w:type="dxa"/>
            <w:vMerge w:val="restart"/>
            <w:shd w:val="clear" w:color="auto" w:fill="auto"/>
            <w:noWrap w:val="0"/>
            <w:vAlign w:val="center"/>
          </w:tcPr>
          <w:p w14:paraId="45F1EF14">
            <w:pPr>
              <w:spacing w:line="200" w:lineRule="atLeast"/>
              <w:jc w:val="distribute"/>
              <w:rPr>
                <w:rFonts w:ascii="Times New Roman" w:hAnsi="Times New Roman" w:eastAsia="楷体_GB2312"/>
                <w:b/>
                <w:kern w:val="0"/>
                <w:sz w:val="30"/>
                <w:szCs w:val="30"/>
              </w:rPr>
            </w:pPr>
            <w:r>
              <w:rPr>
                <w:rFonts w:ascii="Times New Roman" w:hAnsi="Times New Roman" w:eastAsia="楷体_GB2312"/>
                <w:b/>
                <w:kern w:val="0"/>
                <w:sz w:val="30"/>
                <w:szCs w:val="30"/>
              </w:rPr>
              <w:t>学位授予单位</w:t>
            </w:r>
          </w:p>
        </w:tc>
        <w:tc>
          <w:tcPr>
            <w:tcW w:w="3175" w:type="dxa"/>
            <w:tcBorders>
              <w:bottom w:val="single" w:color="auto" w:sz="4" w:space="0"/>
            </w:tcBorders>
            <w:shd w:val="clear" w:color="auto" w:fill="auto"/>
            <w:noWrap w:val="0"/>
            <w:vAlign w:val="center"/>
          </w:tcPr>
          <w:p w14:paraId="22FA3FFD">
            <w:pPr>
              <w:rPr>
                <w:rFonts w:hint="eastAsia" w:ascii="Times New Roman" w:hAnsi="Times New Roman" w:eastAsia="楷体_GB2312"/>
                <w:b/>
                <w:kern w:val="0"/>
                <w:sz w:val="30"/>
                <w:szCs w:val="30"/>
                <w:lang w:val="en-US" w:eastAsia="zh-CN"/>
              </w:rPr>
            </w:pPr>
            <w:r>
              <w:rPr>
                <w:rFonts w:ascii="Times New Roman" w:hAnsi="Times New Roman" w:eastAsia="楷体_GB2312"/>
                <w:b/>
                <w:kern w:val="0"/>
                <w:sz w:val="30"/>
                <w:szCs w:val="30"/>
              </w:rPr>
              <w:t>名称：</w:t>
            </w:r>
            <w:r>
              <w:rPr>
                <w:rFonts w:hint="eastAsia" w:ascii="Times New Roman" w:hAnsi="Times New Roman" w:eastAsia="楷体_GB2312"/>
                <w:b/>
                <w:kern w:val="0"/>
                <w:sz w:val="30"/>
                <w:szCs w:val="30"/>
                <w:lang w:val="en-US" w:eastAsia="zh-CN"/>
              </w:rPr>
              <w:t>河南中医药大学</w:t>
            </w:r>
          </w:p>
        </w:tc>
      </w:tr>
      <w:tr w14:paraId="223E1E6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60" w:type="dxa"/>
            <w:vMerge w:val="continue"/>
            <w:shd w:val="clear" w:color="auto" w:fill="auto"/>
            <w:noWrap w:val="0"/>
            <w:vAlign w:val="top"/>
          </w:tcPr>
          <w:p w14:paraId="6111F1C5">
            <w:pPr>
              <w:jc w:val="center"/>
              <w:rPr>
                <w:rFonts w:ascii="Times New Roman" w:hAnsi="Times New Roman" w:eastAsia="楷体_GB2312"/>
                <w:b/>
                <w:kern w:val="0"/>
                <w:sz w:val="30"/>
                <w:szCs w:val="30"/>
              </w:rPr>
            </w:pPr>
          </w:p>
        </w:tc>
        <w:tc>
          <w:tcPr>
            <w:tcW w:w="3175" w:type="dxa"/>
            <w:tcBorders>
              <w:top w:val="single" w:color="auto" w:sz="4" w:space="0"/>
            </w:tcBorders>
            <w:shd w:val="clear" w:color="auto" w:fill="auto"/>
            <w:noWrap w:val="0"/>
            <w:vAlign w:val="center"/>
          </w:tcPr>
          <w:p w14:paraId="5470630C">
            <w:pPr>
              <w:rPr>
                <w:rFonts w:hint="default" w:ascii="Times New Roman" w:hAnsi="Times New Roman" w:eastAsia="楷体_GB2312"/>
                <w:b/>
                <w:kern w:val="0"/>
                <w:sz w:val="30"/>
                <w:szCs w:val="30"/>
                <w:lang w:val="en-US" w:eastAsia="zh-CN"/>
              </w:rPr>
            </w:pPr>
            <w:r>
              <w:rPr>
                <w:rFonts w:ascii="Times New Roman" w:hAnsi="Times New Roman" w:eastAsia="楷体_GB2312"/>
                <w:b/>
                <w:kern w:val="0"/>
                <w:sz w:val="30"/>
                <w:szCs w:val="30"/>
              </w:rPr>
              <w:t>代码：</w:t>
            </w:r>
            <w:r>
              <w:rPr>
                <w:rFonts w:hint="eastAsia" w:ascii="Times New Roman" w:hAnsi="Times New Roman" w:eastAsia="楷体_GB2312"/>
                <w:b/>
                <w:kern w:val="0"/>
                <w:sz w:val="30"/>
                <w:szCs w:val="30"/>
                <w:lang w:val="en-US" w:eastAsia="zh-CN"/>
              </w:rPr>
              <w:t>10471</w:t>
            </w:r>
          </w:p>
        </w:tc>
      </w:tr>
    </w:tbl>
    <w:p w14:paraId="74C69C7B">
      <w:pPr>
        <w:spacing w:line="720" w:lineRule="auto"/>
        <w:jc w:val="center"/>
        <w:rPr>
          <w:rFonts w:ascii="Times New Roman" w:hAnsi="Times New Roman" w:eastAsia="楷体_GB2312"/>
          <w:b/>
          <w:sz w:val="30"/>
          <w:szCs w:val="30"/>
        </w:rPr>
      </w:pPr>
    </w:p>
    <w:tbl>
      <w:tblPr>
        <w:tblStyle w:val="10"/>
        <w:tblW w:w="5349" w:type="dxa"/>
        <w:tblInd w:w="172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0"/>
        <w:gridCol w:w="3189"/>
      </w:tblGrid>
      <w:tr w14:paraId="5A298C8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60" w:type="dxa"/>
            <w:vMerge w:val="restart"/>
            <w:shd w:val="clear" w:color="auto" w:fill="auto"/>
            <w:noWrap w:val="0"/>
            <w:vAlign w:val="center"/>
          </w:tcPr>
          <w:p w14:paraId="1D39C9F9">
            <w:pPr>
              <w:jc w:val="distribute"/>
              <w:rPr>
                <w:rFonts w:ascii="Times New Roman" w:hAnsi="Times New Roman" w:eastAsia="楷体_GB2312"/>
                <w:b/>
                <w:kern w:val="0"/>
                <w:sz w:val="30"/>
                <w:szCs w:val="30"/>
              </w:rPr>
            </w:pPr>
            <w:r>
              <w:rPr>
                <w:rFonts w:ascii="Times New Roman" w:hAnsi="Times New Roman" w:eastAsia="楷体_GB2312"/>
                <w:b/>
                <w:kern w:val="0"/>
                <w:sz w:val="30"/>
                <w:szCs w:val="30"/>
              </w:rPr>
              <w:t>授权学科</w:t>
            </w:r>
          </w:p>
          <w:p w14:paraId="726672A3">
            <w:pPr>
              <w:jc w:val="distribute"/>
              <w:rPr>
                <w:rFonts w:ascii="Times New Roman" w:hAnsi="Times New Roman" w:eastAsia="楷体_GB2312"/>
                <w:b/>
                <w:kern w:val="0"/>
                <w:sz w:val="30"/>
                <w:szCs w:val="30"/>
              </w:rPr>
            </w:pPr>
            <w:r>
              <w:rPr>
                <w:rFonts w:ascii="Times New Roman" w:hAnsi="Times New Roman" w:eastAsia="楷体_GB2312"/>
                <w:b/>
                <w:kern w:val="0"/>
                <w:sz w:val="30"/>
                <w:szCs w:val="30"/>
              </w:rPr>
              <w:t>（类别）</w:t>
            </w:r>
          </w:p>
        </w:tc>
        <w:tc>
          <w:tcPr>
            <w:tcW w:w="3189" w:type="dxa"/>
            <w:tcBorders>
              <w:bottom w:val="single" w:color="auto" w:sz="4" w:space="0"/>
            </w:tcBorders>
            <w:shd w:val="clear" w:color="auto" w:fill="auto"/>
            <w:noWrap w:val="0"/>
            <w:vAlign w:val="center"/>
          </w:tcPr>
          <w:p w14:paraId="7D3305A7">
            <w:pPr>
              <w:rPr>
                <w:rFonts w:hint="eastAsia" w:ascii="Times New Roman" w:hAnsi="Times New Roman" w:eastAsia="楷体_GB2312"/>
                <w:b/>
                <w:kern w:val="0"/>
                <w:sz w:val="30"/>
                <w:szCs w:val="30"/>
                <w:lang w:val="en-US" w:eastAsia="zh-CN"/>
              </w:rPr>
            </w:pPr>
            <w:r>
              <w:rPr>
                <w:rFonts w:ascii="Times New Roman" w:hAnsi="Times New Roman" w:eastAsia="楷体_GB2312"/>
                <w:b/>
                <w:kern w:val="0"/>
                <w:sz w:val="30"/>
                <w:szCs w:val="30"/>
              </w:rPr>
              <w:t>名称：</w:t>
            </w:r>
            <w:r>
              <w:rPr>
                <w:rFonts w:hint="eastAsia" w:ascii="Times New Roman" w:hAnsi="Times New Roman" w:eastAsia="楷体_GB2312"/>
                <w:b/>
                <w:kern w:val="0"/>
                <w:sz w:val="30"/>
                <w:szCs w:val="30"/>
                <w:lang w:val="en-US" w:eastAsia="zh-CN"/>
              </w:rPr>
              <w:t>中医学</w:t>
            </w:r>
          </w:p>
        </w:tc>
      </w:tr>
      <w:tr w14:paraId="75B5A8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60" w:type="dxa"/>
            <w:vMerge w:val="continue"/>
            <w:shd w:val="clear" w:color="auto" w:fill="auto"/>
            <w:noWrap w:val="0"/>
            <w:vAlign w:val="top"/>
          </w:tcPr>
          <w:p w14:paraId="1634941B">
            <w:pPr>
              <w:jc w:val="center"/>
              <w:rPr>
                <w:rFonts w:ascii="Times New Roman" w:hAnsi="Times New Roman" w:eastAsia="楷体_GB2312"/>
                <w:b/>
                <w:kern w:val="0"/>
                <w:sz w:val="30"/>
                <w:szCs w:val="30"/>
              </w:rPr>
            </w:pPr>
          </w:p>
        </w:tc>
        <w:tc>
          <w:tcPr>
            <w:tcW w:w="3189" w:type="dxa"/>
            <w:tcBorders>
              <w:top w:val="single" w:color="auto" w:sz="4" w:space="0"/>
            </w:tcBorders>
            <w:shd w:val="clear" w:color="auto" w:fill="auto"/>
            <w:noWrap w:val="0"/>
            <w:vAlign w:val="center"/>
          </w:tcPr>
          <w:p w14:paraId="344427FE">
            <w:pPr>
              <w:rPr>
                <w:rFonts w:hint="default" w:ascii="Times New Roman" w:hAnsi="Times New Roman" w:eastAsia="楷体_GB2312"/>
                <w:b/>
                <w:kern w:val="0"/>
                <w:sz w:val="30"/>
                <w:szCs w:val="30"/>
                <w:lang w:val="en-US" w:eastAsia="zh-CN"/>
              </w:rPr>
            </w:pPr>
            <w:r>
              <w:rPr>
                <w:rFonts w:ascii="Times New Roman" w:hAnsi="Times New Roman" w:eastAsia="楷体_GB2312"/>
                <w:b/>
                <w:kern w:val="0"/>
                <w:sz w:val="30"/>
                <w:szCs w:val="30"/>
              </w:rPr>
              <w:t>代码：</w:t>
            </w:r>
            <w:r>
              <w:rPr>
                <w:rFonts w:hint="eastAsia" w:ascii="Times New Roman" w:hAnsi="Times New Roman" w:eastAsia="楷体_GB2312"/>
                <w:b/>
                <w:kern w:val="0"/>
                <w:sz w:val="30"/>
                <w:szCs w:val="30"/>
                <w:lang w:val="en-US" w:eastAsia="zh-CN"/>
              </w:rPr>
              <w:t>1005</w:t>
            </w:r>
          </w:p>
        </w:tc>
      </w:tr>
    </w:tbl>
    <w:p w14:paraId="71E0D34F">
      <w:pPr>
        <w:spacing w:line="720" w:lineRule="auto"/>
        <w:jc w:val="center"/>
        <w:rPr>
          <w:rFonts w:ascii="Times New Roman" w:hAnsi="Times New Roman" w:eastAsia="楷体_GB2312"/>
          <w:b/>
          <w:sz w:val="30"/>
          <w:szCs w:val="30"/>
        </w:rPr>
      </w:pPr>
    </w:p>
    <w:tbl>
      <w:tblPr>
        <w:tblStyle w:val="10"/>
        <w:tblW w:w="5322" w:type="dxa"/>
        <w:tblInd w:w="172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0"/>
        <w:gridCol w:w="3162"/>
      </w:tblGrid>
      <w:tr w14:paraId="7D63E1A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60" w:type="dxa"/>
            <w:vMerge w:val="restart"/>
            <w:shd w:val="clear" w:color="auto" w:fill="auto"/>
            <w:noWrap w:val="0"/>
            <w:vAlign w:val="center"/>
          </w:tcPr>
          <w:p w14:paraId="76C6FCB6">
            <w:pPr>
              <w:jc w:val="distribute"/>
              <w:rPr>
                <w:rFonts w:ascii="Times New Roman" w:hAnsi="Times New Roman" w:eastAsia="楷体_GB2312"/>
                <w:b/>
                <w:kern w:val="0"/>
                <w:sz w:val="30"/>
                <w:szCs w:val="30"/>
              </w:rPr>
            </w:pPr>
            <w:r>
              <w:rPr>
                <w:rFonts w:ascii="Times New Roman" w:hAnsi="Times New Roman" w:eastAsia="楷体_GB2312"/>
                <w:b/>
                <w:kern w:val="0"/>
                <w:sz w:val="30"/>
                <w:szCs w:val="30"/>
              </w:rPr>
              <w:t>授权级别</w:t>
            </w:r>
          </w:p>
        </w:tc>
        <w:tc>
          <w:tcPr>
            <w:tcW w:w="3162" w:type="dxa"/>
            <w:tcBorders>
              <w:bottom w:val="single" w:color="auto" w:sz="4" w:space="0"/>
            </w:tcBorders>
            <w:shd w:val="clear" w:color="auto" w:fill="auto"/>
            <w:noWrap w:val="0"/>
            <w:vAlign w:val="center"/>
          </w:tcPr>
          <w:p w14:paraId="1695B712">
            <w:pPr>
              <w:rPr>
                <w:rFonts w:ascii="Times New Roman" w:hAnsi="Times New Roman" w:eastAsia="楷体_GB2312"/>
                <w:b/>
                <w:kern w:val="0"/>
                <w:sz w:val="30"/>
                <w:szCs w:val="30"/>
              </w:rPr>
            </w:pPr>
            <w:r>
              <w:rPr>
                <w:rFonts w:hint="eastAsia" w:ascii="Times New Roman" w:hAnsi="Times New Roman" w:eastAsia="楷体_GB2312"/>
                <w:b/>
                <w:kern w:val="0"/>
                <w:sz w:val="30"/>
                <w:szCs w:val="30"/>
                <w:lang w:eastAsia="zh-CN"/>
              </w:rPr>
              <w:t>☑</w:t>
            </w:r>
            <w:r>
              <w:rPr>
                <w:rFonts w:ascii="Times New Roman" w:hAnsi="Times New Roman" w:eastAsia="楷体_GB2312"/>
                <w:b/>
                <w:kern w:val="0"/>
                <w:sz w:val="30"/>
                <w:szCs w:val="30"/>
              </w:rPr>
              <w:t xml:space="preserve">  博  士</w:t>
            </w:r>
          </w:p>
        </w:tc>
      </w:tr>
      <w:tr w14:paraId="7294F76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60" w:type="dxa"/>
            <w:vMerge w:val="continue"/>
            <w:shd w:val="clear" w:color="auto" w:fill="auto"/>
            <w:noWrap w:val="0"/>
            <w:vAlign w:val="top"/>
          </w:tcPr>
          <w:p w14:paraId="7CFAEE47">
            <w:pPr>
              <w:jc w:val="center"/>
              <w:rPr>
                <w:rFonts w:ascii="Times New Roman" w:hAnsi="Times New Roman" w:eastAsia="楷体_GB2312"/>
                <w:b/>
                <w:kern w:val="0"/>
                <w:sz w:val="30"/>
                <w:szCs w:val="30"/>
              </w:rPr>
            </w:pPr>
          </w:p>
        </w:tc>
        <w:tc>
          <w:tcPr>
            <w:tcW w:w="3162" w:type="dxa"/>
            <w:tcBorders>
              <w:top w:val="single" w:color="auto" w:sz="4" w:space="0"/>
            </w:tcBorders>
            <w:shd w:val="clear" w:color="auto" w:fill="auto"/>
            <w:noWrap w:val="0"/>
            <w:vAlign w:val="center"/>
          </w:tcPr>
          <w:p w14:paraId="34EC9572">
            <w:pPr>
              <w:rPr>
                <w:rFonts w:ascii="Times New Roman" w:hAnsi="Times New Roman" w:eastAsia="楷体_GB2312"/>
                <w:b/>
                <w:kern w:val="0"/>
                <w:sz w:val="30"/>
                <w:szCs w:val="30"/>
              </w:rPr>
            </w:pPr>
            <w:r>
              <w:rPr>
                <w:rFonts w:ascii="Times New Roman" w:hAnsi="Times New Roman" w:eastAsia="楷体_GB2312"/>
                <w:b/>
                <w:kern w:val="0"/>
                <w:sz w:val="30"/>
                <w:szCs w:val="30"/>
              </w:rPr>
              <w:t>□  硕  士</w:t>
            </w:r>
          </w:p>
        </w:tc>
      </w:tr>
    </w:tbl>
    <w:p w14:paraId="4172891C">
      <w:pPr>
        <w:rPr>
          <w:rFonts w:ascii="Times New Roman" w:hAnsi="Times New Roman" w:eastAsia="楷体_GB2312"/>
          <w:b/>
          <w:sz w:val="30"/>
          <w:szCs w:val="30"/>
        </w:rPr>
      </w:pPr>
    </w:p>
    <w:p w14:paraId="515F1C55">
      <w:pPr>
        <w:jc w:val="center"/>
        <w:rPr>
          <w:rFonts w:ascii="Times New Roman" w:hAnsi="Times New Roman" w:eastAsia="楷体_GB2312"/>
          <w:b/>
          <w:sz w:val="30"/>
          <w:szCs w:val="30"/>
        </w:rPr>
      </w:pPr>
    </w:p>
    <w:p w14:paraId="7DF58316">
      <w:pPr>
        <w:jc w:val="center"/>
        <w:rPr>
          <w:rFonts w:hint="default" w:ascii="仿宋" w:hAnsi="仿宋" w:eastAsia="楷体_GB2312" w:cs="仿宋"/>
          <w:b/>
          <w:color w:val="000000"/>
          <w:sz w:val="30"/>
          <w:szCs w:val="30"/>
          <w:lang w:val="en-US" w:eastAsia="zh-CN"/>
        </w:rPr>
        <w:sectPr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start="10"/>
          <w:cols w:space="720" w:num="1"/>
          <w:docGrid w:type="lines" w:linePitch="312" w:charSpace="0"/>
        </w:sectPr>
      </w:pPr>
      <w:r>
        <w:rPr>
          <w:rFonts w:ascii="Times New Roman" w:hAnsi="Times New Roman" w:eastAsia="楷体_GB2312"/>
          <w:b/>
          <w:sz w:val="30"/>
          <w:szCs w:val="30"/>
        </w:rPr>
        <w:t>20</w:t>
      </w:r>
      <w:r>
        <w:rPr>
          <w:rFonts w:hint="eastAsia" w:ascii="Times New Roman" w:hAnsi="Times New Roman" w:eastAsia="楷体_GB2312"/>
          <w:b/>
          <w:sz w:val="30"/>
          <w:szCs w:val="30"/>
          <w:lang w:val="en-US" w:eastAsia="zh-CN"/>
        </w:rPr>
        <w:t xml:space="preserve">23 </w:t>
      </w:r>
      <w:r>
        <w:rPr>
          <w:rFonts w:ascii="Times New Roman" w:hAnsi="Times New Roman" w:eastAsia="楷体_GB2312"/>
          <w:b/>
          <w:sz w:val="30"/>
          <w:szCs w:val="30"/>
        </w:rPr>
        <w:t xml:space="preserve">年 </w:t>
      </w:r>
      <w:r>
        <w:rPr>
          <w:rFonts w:hint="eastAsia" w:ascii="Times New Roman" w:hAnsi="Times New Roman" w:eastAsia="楷体_GB2312"/>
          <w:b/>
          <w:sz w:val="30"/>
          <w:szCs w:val="30"/>
          <w:lang w:val="en-US" w:eastAsia="zh-CN"/>
        </w:rPr>
        <w:t>12</w:t>
      </w:r>
      <w:r>
        <w:rPr>
          <w:rFonts w:ascii="Times New Roman" w:hAnsi="Times New Roman" w:eastAsia="楷体_GB2312"/>
          <w:b/>
          <w:sz w:val="30"/>
          <w:szCs w:val="30"/>
        </w:rPr>
        <w:t xml:space="preserve"> 月 </w:t>
      </w:r>
      <w:r>
        <w:rPr>
          <w:rFonts w:hint="eastAsia" w:ascii="Times New Roman" w:hAnsi="Times New Roman" w:eastAsia="楷体_GB2312"/>
          <w:b/>
          <w:sz w:val="30"/>
          <w:szCs w:val="30"/>
          <w:lang w:val="en-US" w:eastAsia="zh-CN"/>
        </w:rPr>
        <w:t>30</w:t>
      </w:r>
      <w:r>
        <w:rPr>
          <w:rFonts w:ascii="Times New Roman" w:hAnsi="Times New Roman" w:eastAsia="楷体_GB2312"/>
          <w:b/>
          <w:sz w:val="30"/>
          <w:szCs w:val="30"/>
        </w:rPr>
        <w:t xml:space="preserve"> 日</w:t>
      </w:r>
    </w:p>
    <w:p w14:paraId="6A54D88A">
      <w:pPr>
        <w:spacing w:after="156" w:afterLines="50" w:line="560" w:lineRule="exact"/>
        <w:jc w:val="left"/>
        <w:rPr>
          <w:rFonts w:ascii="Times New Roman" w:hAnsi="Times New Roman" w:eastAsia="方正小标宋简体"/>
          <w:b/>
          <w:sz w:val="32"/>
          <w:szCs w:val="32"/>
        </w:rPr>
      </w:pPr>
      <w:bookmarkStart w:id="0" w:name="_Toc345572232"/>
      <w:r>
        <w:rPr>
          <w:rFonts w:hint="eastAsia" w:ascii="Times New Roman" w:hAnsi="Times New Roman" w:eastAsia="方正小标宋简体"/>
          <w:b/>
          <w:sz w:val="32"/>
          <w:szCs w:val="32"/>
        </w:rPr>
        <w:t>一、学位授权点基本情况</w:t>
      </w:r>
    </w:p>
    <w:p w14:paraId="1E91C8ED">
      <w:pPr>
        <w:spacing w:line="360" w:lineRule="auto"/>
        <w:ind w:firstLine="562" w:firstLineChars="200"/>
        <w:rPr>
          <w:rFonts w:hint="eastAsia" w:ascii="宋体" w:hAnsi="宋体" w:eastAsia="宋体" w:cs="仿宋"/>
          <w:sz w:val="28"/>
          <w:szCs w:val="28"/>
        </w:rPr>
      </w:pPr>
      <w:r>
        <w:rPr>
          <w:rFonts w:hint="eastAsia" w:ascii="宋体" w:hAnsi="宋体" w:eastAsia="宋体" w:cs="仿宋"/>
          <w:b/>
          <w:bCs/>
          <w:sz w:val="28"/>
          <w:szCs w:val="28"/>
        </w:rPr>
        <w:t>（一）学位授权点简介</w:t>
      </w:r>
    </w:p>
    <w:p w14:paraId="77B1077A">
      <w:pPr>
        <w:spacing w:line="240" w:lineRule="auto"/>
        <w:ind w:firstLine="560" w:firstLineChars="200"/>
        <w:rPr>
          <w:rFonts w:hint="eastAsia" w:ascii="宋体" w:hAnsi="宋体" w:eastAsia="宋体" w:cs="宋体"/>
          <w:color w:val="auto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Cs/>
          <w:color w:val="000000"/>
          <w:sz w:val="28"/>
          <w:szCs w:val="28"/>
        </w:rPr>
        <w:t>河南中医药大学中医学本科专业设立于1958年，1979年开始招收中医内科学、中医五官科学、针灸推拿学硕士研究生，1998年开始联合培养博士研究生，</w:t>
      </w:r>
      <w:r>
        <w:rPr>
          <w:rFonts w:hint="eastAsia" w:ascii="宋体" w:hAnsi="宋体" w:eastAsia="宋体" w:cs="宋体"/>
          <w:b w:val="0"/>
          <w:bCs/>
          <w:color w:val="000000"/>
          <w:sz w:val="28"/>
          <w:szCs w:val="28"/>
        </w:rPr>
        <w:t>2013年</w:t>
      </w:r>
      <w:r>
        <w:rPr>
          <w:rFonts w:hint="eastAsia" w:ascii="宋体" w:hAnsi="宋体" w:eastAsia="宋体" w:cs="宋体"/>
          <w:b w:val="0"/>
          <w:bCs/>
          <w:color w:val="000000"/>
          <w:sz w:val="28"/>
          <w:szCs w:val="28"/>
          <w:lang w:val="en-US" w:eastAsia="zh-CN"/>
        </w:rPr>
        <w:t>获</w:t>
      </w:r>
      <w:r>
        <w:rPr>
          <w:rFonts w:hint="eastAsia" w:ascii="宋体" w:hAnsi="宋体" w:eastAsia="宋体" w:cs="宋体"/>
          <w:b w:val="0"/>
          <w:bCs/>
          <w:color w:val="000000"/>
          <w:sz w:val="28"/>
          <w:szCs w:val="28"/>
        </w:rPr>
        <w:t>博士一级学科学位授权</w:t>
      </w:r>
      <w:r>
        <w:rPr>
          <w:rFonts w:hint="eastAsia" w:ascii="宋体" w:hAnsi="宋体" w:eastAsia="宋体" w:cs="宋体"/>
          <w:b w:val="0"/>
          <w:bCs/>
          <w:color w:val="000000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color w:val="000000"/>
          <w:sz w:val="28"/>
          <w:szCs w:val="28"/>
          <w:lang w:val="en-US" w:eastAsia="zh-CN"/>
        </w:rPr>
        <w:t>涵盖14个二级学科。</w:t>
      </w:r>
      <w:bookmarkEnd w:id="0"/>
      <w:r>
        <w:rPr>
          <w:rFonts w:hint="eastAsia" w:ascii="宋体" w:hAnsi="宋体" w:eastAsia="宋体" w:cs="宋体"/>
          <w:bCs/>
          <w:color w:val="000000"/>
          <w:sz w:val="28"/>
          <w:szCs w:val="28"/>
        </w:rPr>
        <w:t>经过</w:t>
      </w:r>
      <w:r>
        <w:rPr>
          <w:rFonts w:hint="eastAsia" w:ascii="宋体" w:hAnsi="宋体" w:eastAsia="宋体" w:cs="宋体"/>
          <w:bCs/>
          <w:color w:val="000000"/>
          <w:sz w:val="28"/>
          <w:szCs w:val="28"/>
          <w:lang w:eastAsia="zh-CN"/>
        </w:rPr>
        <w:t>多</w:t>
      </w:r>
      <w:r>
        <w:rPr>
          <w:rFonts w:hint="eastAsia" w:ascii="宋体" w:hAnsi="宋体" w:eastAsia="宋体" w:cs="宋体"/>
          <w:bCs/>
          <w:color w:val="000000"/>
          <w:sz w:val="28"/>
          <w:szCs w:val="28"/>
        </w:rPr>
        <w:t>年建设，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本学位点现拥有国家中医临床教学培训示范中心、国家中医药传承创新中心、国家区域中医（专科）诊疗中心、国家中医药国际合作交流基地、国家中医临床研究基地、国家中医住院医师规范化培训示范基地等多个国家级平台。</w:t>
      </w:r>
      <w:r>
        <w:rPr>
          <w:rFonts w:hint="eastAsia" w:ascii="宋体" w:hAnsi="宋体" w:eastAsia="宋体" w:cs="宋体"/>
          <w:color w:val="auto"/>
          <w:kern w:val="0"/>
          <w:sz w:val="28"/>
          <w:szCs w:val="28"/>
          <w:lang w:val="en-US" w:eastAsia="zh-CN" w:bidi="ar"/>
        </w:rPr>
        <w:t>还拥有省部共建协同创新中心1个，国家临床重点专科（中医类）12个、国家中医药管理局重点学科14个、国家中医药管理局重点专科28个。</w:t>
      </w:r>
    </w:p>
    <w:p w14:paraId="08F5A82D">
      <w:pPr>
        <w:spacing w:line="240" w:lineRule="auto"/>
        <w:ind w:firstLine="560" w:firstLineChars="200"/>
        <w:rPr>
          <w:rFonts w:hint="eastAsia" w:ascii="宋体" w:hAnsi="宋体" w:eastAsia="宋体" w:cs="宋体"/>
          <w:b w:val="0"/>
          <w:bCs w:val="0"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学位点在2023年建设期间，共获批纵向科研课题458项（其中国家级项目26项，包含5项国家重大专项-科技创新2030），总经费1.44亿元；横向课题总经费106.38万元；获各类科研奖励57项；以第一作者或通讯作者发表中文核心、SCI论文396篇；主编、副主编著作60部；制定行业标准、指南、专家共识30项；各类型专利、软件著作权83项，转化总经费70万元。</w:t>
      </w:r>
    </w:p>
    <w:p w14:paraId="43CA1FC0">
      <w:pPr>
        <w:spacing w:line="240" w:lineRule="auto"/>
        <w:ind w:firstLine="560" w:firstLineChars="200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8"/>
          <w:szCs w:val="28"/>
        </w:rPr>
        <w:t>在学校“人才兴校”战略方针指导下，学位点打造了一支</w:t>
      </w:r>
      <w:r>
        <w:rPr>
          <w:rFonts w:hint="eastAsia" w:ascii="宋体" w:hAnsi="宋体" w:eastAsia="宋体" w:cs="宋体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由48名博导、189名硕导组成的导师团队</w:t>
      </w:r>
      <w:r>
        <w:rPr>
          <w:rFonts w:hint="eastAsia" w:ascii="宋体" w:hAnsi="宋体" w:eastAsia="宋体" w:cs="宋体"/>
          <w:color w:val="000000"/>
          <w:kern w:val="2"/>
          <w:sz w:val="28"/>
          <w:szCs w:val="28"/>
          <w:lang w:val="en-US" w:eastAsia="zh-CN" w:bidi="ar-SA"/>
        </w:rPr>
        <w:t>。</w:t>
      </w:r>
      <w:r>
        <w:rPr>
          <w:rFonts w:hint="eastAsia" w:ascii="宋体" w:hAnsi="宋体" w:eastAsia="宋体" w:cs="宋体"/>
          <w:b w:val="0"/>
          <w:bCs w:val="0"/>
          <w:color w:val="000000"/>
          <w:sz w:val="28"/>
          <w:szCs w:val="28"/>
          <w:lang w:val="en-US" w:eastAsia="zh-CN"/>
        </w:rPr>
        <w:t>拥有国医大师2人，全国名中医5人、长江学者1人、国家教学名师2人、全国优秀教师1人、岐黄学者6人，青年岐黄学者2人、国家“万人计划”青年拔尖人才1人。</w:t>
      </w:r>
    </w:p>
    <w:p w14:paraId="30F462F3">
      <w:pPr>
        <w:spacing w:line="360" w:lineRule="auto"/>
        <w:ind w:firstLine="562" w:firstLineChars="200"/>
        <w:rPr>
          <w:rFonts w:hint="eastAsia" w:ascii="宋体" w:hAnsi="宋体" w:eastAsia="宋体" w:cs="宋体"/>
          <w:b/>
          <w:bCs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eastAsia="宋体" w:cs="仿宋"/>
          <w:b/>
          <w:bCs/>
          <w:sz w:val="28"/>
          <w:szCs w:val="28"/>
        </w:rPr>
        <w:t>（二）培养目标和学位标准</w:t>
      </w:r>
    </w:p>
    <w:p w14:paraId="1DBA564D">
      <w:pPr>
        <w:spacing w:line="240" w:lineRule="auto"/>
        <w:ind w:firstLine="562" w:firstLineChars="200"/>
        <w:rPr>
          <w:rFonts w:hint="eastAsia" w:ascii="宋体" w:hAnsi="宋体" w:eastAsia="宋体" w:cs="宋体"/>
          <w:b/>
          <w:color w:val="000000"/>
          <w:sz w:val="28"/>
          <w:szCs w:val="28"/>
        </w:rPr>
      </w:pPr>
      <w:r>
        <w:rPr>
          <w:rFonts w:hint="eastAsia" w:ascii="宋体" w:hAnsi="宋体" w:eastAsia="宋体" w:cs="宋体"/>
          <w:b/>
          <w:color w:val="000000"/>
          <w:sz w:val="28"/>
          <w:szCs w:val="28"/>
          <w:lang w:val="en-US" w:eastAsia="zh-CN"/>
        </w:rPr>
        <w:t>2.</w:t>
      </w:r>
      <w:r>
        <w:rPr>
          <w:rFonts w:hint="eastAsia" w:ascii="宋体" w:hAnsi="宋体" w:eastAsia="宋体" w:cs="宋体"/>
          <w:b/>
          <w:color w:val="000000"/>
          <w:sz w:val="28"/>
          <w:szCs w:val="28"/>
        </w:rPr>
        <w:t>1培养定位与目标</w:t>
      </w:r>
    </w:p>
    <w:p w14:paraId="076FA9CA">
      <w:pPr>
        <w:spacing w:line="240" w:lineRule="auto"/>
        <w:jc w:val="center"/>
        <w:rPr>
          <w:rFonts w:hint="eastAsia" w:ascii="宋体" w:hAnsi="宋体" w:eastAsia="宋体" w:cs="宋体"/>
          <w:b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3918585" cy="3104515"/>
            <wp:effectExtent l="0" t="0" r="5715" b="635"/>
            <wp:docPr id="5" name="图片 1" descr="定位与目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定位与目标"/>
                    <pic:cNvPicPr>
                      <a:picLocks noChangeAspect="1"/>
                    </pic:cNvPicPr>
                  </pic:nvPicPr>
                  <pic:blipFill>
                    <a:blip r:embed="rId4"/>
                    <a:srcRect l="11681" t="7660" r="9944" b="48474"/>
                    <a:stretch>
                      <a:fillRect/>
                    </a:stretch>
                  </pic:blipFill>
                  <pic:spPr>
                    <a:xfrm>
                      <a:off x="0" y="0"/>
                      <a:ext cx="3918585" cy="310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F308F">
      <w:pPr>
        <w:spacing w:line="240" w:lineRule="auto"/>
        <w:ind w:firstLine="562" w:firstLineChars="200"/>
        <w:rPr>
          <w:rFonts w:hint="eastAsia" w:ascii="宋体" w:hAnsi="宋体" w:eastAsia="宋体" w:cs="宋体"/>
          <w:b/>
          <w:bCs w:val="0"/>
          <w:color w:val="00000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 w:val="0"/>
          <w:color w:val="000000"/>
          <w:sz w:val="28"/>
          <w:szCs w:val="28"/>
          <w:lang w:val="en-US" w:eastAsia="zh-CN"/>
        </w:rPr>
        <w:t>2.2</w:t>
      </w:r>
      <w:r>
        <w:rPr>
          <w:rFonts w:hint="eastAsia" w:ascii="宋体" w:hAnsi="宋体" w:eastAsia="宋体" w:cs="宋体"/>
          <w:b/>
          <w:bCs w:val="0"/>
          <w:color w:val="000000"/>
          <w:sz w:val="28"/>
          <w:szCs w:val="28"/>
        </w:rPr>
        <w:t>学位标准</w:t>
      </w:r>
    </w:p>
    <w:p w14:paraId="4C1C70A1">
      <w:pPr>
        <w:keepNext w:val="0"/>
        <w:keepLines w:val="0"/>
        <w:widowControl/>
        <w:suppressLineNumbers w:val="0"/>
        <w:spacing w:line="240" w:lineRule="auto"/>
        <w:ind w:firstLine="560" w:firstLineChars="200"/>
        <w:jc w:val="left"/>
        <w:rPr>
          <w:rFonts w:hint="eastAsia" w:ascii="宋体" w:hAnsi="宋体" w:eastAsia="宋体" w:cs="宋体"/>
          <w:b w:val="0"/>
          <w:bCs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000000"/>
          <w:sz w:val="28"/>
          <w:szCs w:val="28"/>
          <w:lang w:val="en-US" w:eastAsia="zh-CN"/>
        </w:rPr>
        <w:t>学位点严格按照我校制定的《河南中医药大学学位授予工作实施细则》、《河南中医药大学关于申请博士、硕士学位人员发表学术论文的规定》等文件要求，课程考试成绩合格、并修满17学分,学位论文撰写符合我校要求、规范严谨，通过科研原始资料审核、学位论文检测、匿名评审及学位论文答辩等要求程序，发表符合我校要求的学术论文，可授予博士学位。</w:t>
      </w:r>
    </w:p>
    <w:p w14:paraId="7A7252BE">
      <w:pPr>
        <w:keepNext w:val="0"/>
        <w:keepLines w:val="0"/>
        <w:widowControl/>
        <w:suppressLineNumbers w:val="0"/>
        <w:spacing w:line="240" w:lineRule="auto"/>
        <w:jc w:val="center"/>
        <w:rPr>
          <w:rFonts w:hint="eastAsia" w:ascii="宋体" w:hAnsi="宋体" w:eastAsia="宋体" w:cs="宋体"/>
          <w:b w:val="0"/>
          <w:bCs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4014470" cy="1859915"/>
            <wp:effectExtent l="0" t="0" r="5080" b="6985"/>
            <wp:docPr id="9" name="图片 2" descr="学术论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学术论文"/>
                    <pic:cNvPicPr>
                      <a:picLocks noChangeAspect="1"/>
                    </pic:cNvPicPr>
                  </pic:nvPicPr>
                  <pic:blipFill>
                    <a:blip r:embed="rId5"/>
                    <a:srcRect l="12308" t="7788" r="9764" b="66692"/>
                    <a:stretch>
                      <a:fillRect/>
                    </a:stretch>
                  </pic:blipFill>
                  <pic:spPr>
                    <a:xfrm>
                      <a:off x="0" y="0"/>
                      <a:ext cx="4014470" cy="185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0C8D4">
      <w:pPr>
        <w:spacing w:line="240" w:lineRule="auto"/>
        <w:ind w:firstLine="562" w:firstLineChars="200"/>
        <w:jc w:val="left"/>
        <w:rPr>
          <w:rFonts w:hint="default" w:ascii="宋体" w:hAnsi="宋体" w:eastAsia="宋体" w:cs="宋体"/>
          <w:b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  <w:t>（3）</w:t>
      </w:r>
      <w:r>
        <w:rPr>
          <w:rFonts w:hint="eastAsia" w:ascii="宋体" w:hAnsi="宋体" w:eastAsia="宋体" w:cs="宋体"/>
          <w:b/>
          <w:bCs w:val="0"/>
          <w:color w:val="000000"/>
          <w:sz w:val="28"/>
          <w:szCs w:val="28"/>
          <w:lang w:val="en-US" w:eastAsia="zh-CN"/>
        </w:rPr>
        <w:t>培养</w:t>
      </w:r>
      <w:r>
        <w:rPr>
          <w:rFonts w:hint="eastAsia" w:ascii="宋体" w:hAnsi="宋体" w:eastAsia="宋体" w:cs="宋体"/>
          <w:b/>
          <w:bCs w:val="0"/>
          <w:color w:val="000000"/>
          <w:sz w:val="28"/>
          <w:szCs w:val="28"/>
          <w:lang w:eastAsia="zh-CN"/>
        </w:rPr>
        <w:t>方向</w:t>
      </w:r>
      <w:r>
        <w:rPr>
          <w:rFonts w:hint="eastAsia" w:ascii="宋体" w:hAnsi="宋体" w:eastAsia="宋体" w:cs="宋体"/>
          <w:b/>
          <w:bCs w:val="0"/>
          <w:color w:val="000000"/>
          <w:sz w:val="28"/>
          <w:szCs w:val="28"/>
          <w:lang w:val="en-US" w:eastAsia="zh-CN"/>
        </w:rPr>
        <w:t>及带头人简介</w:t>
      </w:r>
    </w:p>
    <w:p w14:paraId="15D78336">
      <w:pPr>
        <w:spacing w:line="240" w:lineRule="auto"/>
        <w:ind w:firstLine="560" w:firstLineChars="200"/>
        <w:rPr>
          <w:rFonts w:hint="eastAsia" w:ascii="宋体" w:hAnsi="宋体" w:eastAsia="宋体" w:cs="宋体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8"/>
          <w:szCs w:val="28"/>
          <w:lang w:eastAsia="zh-CN"/>
        </w:rPr>
        <w:t>本学科有</w:t>
      </w:r>
      <w:r>
        <w:rPr>
          <w:rFonts w:hint="eastAsia" w:ascii="宋体" w:hAnsi="宋体" w:eastAsia="宋体" w:cs="宋体"/>
          <w:b w:val="0"/>
          <w:bCs w:val="0"/>
          <w:color w:val="000000"/>
          <w:sz w:val="28"/>
          <w:szCs w:val="28"/>
          <w:lang w:val="en-US" w:eastAsia="zh-CN"/>
        </w:rPr>
        <w:t>9个主要研究方向，其中呼吸疾病、儿科疾病、感染疾病方向居国内前列，具体简介见下表：</w:t>
      </w:r>
    </w:p>
    <w:p w14:paraId="02D3ED2D">
      <w:pPr>
        <w:spacing w:line="360" w:lineRule="auto"/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4956175" cy="7548245"/>
            <wp:effectExtent l="0" t="0" r="15875" b="14605"/>
            <wp:docPr id="2" name="图片 2" descr="图片内容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内容_01"/>
                    <pic:cNvPicPr>
                      <a:picLocks noChangeAspect="1"/>
                    </pic:cNvPicPr>
                  </pic:nvPicPr>
                  <pic:blipFill>
                    <a:blip r:embed="rId6"/>
                    <a:srcRect l="11041" t="7848" r="11475" b="8742"/>
                    <a:stretch>
                      <a:fillRect/>
                    </a:stretch>
                  </pic:blipFill>
                  <pic:spPr>
                    <a:xfrm>
                      <a:off x="0" y="0"/>
                      <a:ext cx="4956175" cy="754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B307F"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428615" cy="8126095"/>
            <wp:effectExtent l="0" t="0" r="635" b="8255"/>
            <wp:docPr id="7" name="图片 7" descr="图片内容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内容_02"/>
                    <pic:cNvPicPr>
                      <a:picLocks noChangeAspect="1"/>
                    </pic:cNvPicPr>
                  </pic:nvPicPr>
                  <pic:blipFill>
                    <a:blip r:embed="rId7"/>
                    <a:srcRect l="11222" t="7865" r="11198" b="10055"/>
                    <a:stretch>
                      <a:fillRect/>
                    </a:stretch>
                  </pic:blipFill>
                  <pic:spPr>
                    <a:xfrm>
                      <a:off x="0" y="0"/>
                      <a:ext cx="5428615" cy="812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62870">
      <w:pPr>
        <w:spacing w:line="360" w:lineRule="auto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</w:pPr>
    </w:p>
    <w:p w14:paraId="3FC148BC">
      <w:pPr>
        <w:spacing w:line="360" w:lineRule="auto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5445125" cy="8014970"/>
            <wp:effectExtent l="0" t="0" r="3175" b="5080"/>
            <wp:docPr id="10" name="图片 10" descr="图片内容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内容_03"/>
                    <pic:cNvPicPr>
                      <a:picLocks noChangeAspect="1"/>
                    </pic:cNvPicPr>
                  </pic:nvPicPr>
                  <pic:blipFill>
                    <a:blip r:embed="rId8"/>
                    <a:srcRect l="11584" t="8248" r="11560" b="11784"/>
                    <a:stretch>
                      <a:fillRect/>
                    </a:stretch>
                  </pic:blipFill>
                  <pic:spPr>
                    <a:xfrm>
                      <a:off x="0" y="0"/>
                      <a:ext cx="5445125" cy="801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6E79E">
      <w:pPr>
        <w:spacing w:line="240" w:lineRule="auto"/>
        <w:ind w:firstLine="562" w:firstLineChars="200"/>
        <w:rPr>
          <w:rFonts w:hint="eastAsia" w:ascii="宋体" w:hAnsi="宋体" w:eastAsia="宋体" w:cs="宋体"/>
          <w:b/>
          <w:bCs/>
          <w:color w:val="000000"/>
          <w:sz w:val="28"/>
          <w:szCs w:val="28"/>
        </w:rPr>
      </w:pPr>
      <w:r>
        <w:rPr>
          <w:rFonts w:hint="eastAsia" w:ascii="宋体" w:hAnsi="宋体" w:eastAsia="宋体" w:cs="仿宋"/>
          <w:b/>
          <w:bCs/>
          <w:sz w:val="28"/>
          <w:szCs w:val="28"/>
        </w:rPr>
        <w:t>（四）师资队伍</w:t>
      </w:r>
    </w:p>
    <w:p w14:paraId="2EAF40A8">
      <w:pPr>
        <w:spacing w:line="240" w:lineRule="auto"/>
        <w:ind w:firstLine="560" w:firstLineChars="200"/>
        <w:rPr>
          <w:rFonts w:hint="default" w:ascii="宋体" w:hAnsi="宋体" w:eastAsia="宋体" w:cs="宋体"/>
          <w:color w:val="FF0000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color w:val="000000"/>
          <w:kern w:val="2"/>
          <w:sz w:val="28"/>
          <w:szCs w:val="28"/>
          <w:lang w:val="en-US" w:eastAsia="zh-CN" w:bidi="ar-SA"/>
        </w:rPr>
        <w:t>学位点目前拥有一支由325名教师组成的导师团队。其中正高级职称169人、</w:t>
      </w:r>
      <w:r>
        <w:rPr>
          <w:rFonts w:hint="eastAsia" w:ascii="宋体" w:hAnsi="宋体" w:eastAsia="宋体" w:cs="宋体"/>
          <w:b/>
          <w:bCs/>
          <w:color w:val="000000"/>
          <w:kern w:val="2"/>
          <w:sz w:val="28"/>
          <w:szCs w:val="28"/>
          <w:lang w:val="en-US" w:eastAsia="zh-CN" w:bidi="ar-SA"/>
        </w:rPr>
        <w:t>占比49.54%</w:t>
      </w:r>
      <w:r>
        <w:rPr>
          <w:rFonts w:hint="eastAsia" w:ascii="宋体" w:hAnsi="宋体" w:eastAsia="宋体" w:cs="宋体"/>
          <w:color w:val="000000"/>
          <w:kern w:val="2"/>
          <w:sz w:val="28"/>
          <w:szCs w:val="28"/>
          <w:lang w:val="en-US" w:eastAsia="zh-CN" w:bidi="ar-SA"/>
        </w:rPr>
        <w:t>；</w:t>
      </w:r>
      <w:r>
        <w:rPr>
          <w:rFonts w:hint="eastAsia" w:ascii="宋体" w:hAnsi="宋体" w:eastAsia="宋体" w:cs="宋体"/>
          <w:color w:val="auto"/>
          <w:kern w:val="2"/>
          <w:sz w:val="28"/>
          <w:szCs w:val="28"/>
          <w:lang w:val="en-US" w:eastAsia="zh-CN" w:bidi="ar-SA"/>
        </w:rPr>
        <w:t>45岁以下207人、</w:t>
      </w:r>
      <w:r>
        <w:rPr>
          <w:rFonts w:hint="eastAsia" w:ascii="宋体" w:hAnsi="宋体" w:eastAsia="宋体" w:cs="宋体"/>
          <w:b/>
          <w:bCs/>
          <w:color w:val="auto"/>
          <w:kern w:val="2"/>
          <w:sz w:val="28"/>
          <w:szCs w:val="28"/>
          <w:lang w:val="en-US" w:eastAsia="zh-CN" w:bidi="ar-SA"/>
        </w:rPr>
        <w:t>占比36.08%</w:t>
      </w:r>
      <w:r>
        <w:rPr>
          <w:rFonts w:hint="eastAsia" w:ascii="宋体" w:hAnsi="宋体" w:eastAsia="宋体" w:cs="宋体"/>
          <w:color w:val="auto"/>
          <w:kern w:val="2"/>
          <w:sz w:val="28"/>
          <w:szCs w:val="28"/>
          <w:lang w:val="en-US" w:eastAsia="zh-CN" w:bidi="ar-SA"/>
        </w:rPr>
        <w:t>；博士学位198人、</w:t>
      </w:r>
      <w:r>
        <w:rPr>
          <w:rFonts w:hint="eastAsia" w:ascii="宋体" w:hAnsi="宋体" w:eastAsia="宋体" w:cs="宋体"/>
          <w:b/>
          <w:bCs/>
          <w:color w:val="auto"/>
          <w:kern w:val="2"/>
          <w:sz w:val="28"/>
          <w:szCs w:val="28"/>
          <w:lang w:val="en-US" w:eastAsia="zh-CN" w:bidi="ar-SA"/>
        </w:rPr>
        <w:t>占比60.92%</w:t>
      </w:r>
      <w:r>
        <w:rPr>
          <w:rFonts w:hint="eastAsia" w:ascii="宋体" w:hAnsi="宋体" w:eastAsia="宋体" w:cs="宋体"/>
          <w:color w:val="auto"/>
          <w:kern w:val="2"/>
          <w:sz w:val="28"/>
          <w:szCs w:val="28"/>
          <w:lang w:val="en-US" w:eastAsia="zh-CN" w:bidi="ar-SA"/>
        </w:rPr>
        <w:t>；</w:t>
      </w:r>
      <w:r>
        <w:rPr>
          <w:rFonts w:hint="eastAsia" w:ascii="宋体" w:hAnsi="宋体" w:eastAsia="宋体" w:cs="宋体"/>
          <w:color w:val="000000"/>
          <w:kern w:val="2"/>
          <w:sz w:val="28"/>
          <w:szCs w:val="28"/>
          <w:lang w:val="en-US" w:eastAsia="zh-CN" w:bidi="ar-SA"/>
        </w:rPr>
        <w:t>最高学位非本单位授予的人数193人、</w:t>
      </w:r>
      <w:r>
        <w:rPr>
          <w:rFonts w:hint="eastAsia" w:ascii="宋体" w:hAnsi="宋体" w:eastAsia="宋体" w:cs="宋体"/>
          <w:b/>
          <w:bCs/>
          <w:color w:val="auto"/>
          <w:kern w:val="2"/>
          <w:sz w:val="28"/>
          <w:szCs w:val="28"/>
          <w:lang w:val="en-US" w:eastAsia="zh-CN" w:bidi="ar-SA"/>
        </w:rPr>
        <w:t>占比59.38%</w:t>
      </w:r>
      <w:r>
        <w:rPr>
          <w:rFonts w:hint="eastAsia" w:ascii="宋体" w:hAnsi="宋体" w:eastAsia="宋体" w:cs="宋体"/>
          <w:color w:val="000000"/>
          <w:kern w:val="2"/>
          <w:sz w:val="28"/>
          <w:szCs w:val="28"/>
          <w:lang w:val="en-US" w:eastAsia="zh-CN" w:bidi="ar-SA"/>
        </w:rPr>
        <w:t>。整</w:t>
      </w:r>
      <w:r>
        <w:rPr>
          <w:rFonts w:hint="eastAsia" w:ascii="宋体" w:hAnsi="宋体" w:eastAsia="宋体" w:cs="宋体"/>
          <w:bCs w:val="0"/>
          <w:color w:val="000000"/>
          <w:kern w:val="2"/>
          <w:sz w:val="28"/>
          <w:szCs w:val="28"/>
          <w:lang w:val="en-US" w:eastAsia="zh-CN" w:bidi="ar-SA"/>
        </w:rPr>
        <w:t>体呈现梯队合理、学历层次高的特点，为高质量教学与研究提供坚实保障。</w:t>
      </w:r>
    </w:p>
    <w:p w14:paraId="27211E7E">
      <w:pPr>
        <w:spacing w:line="240" w:lineRule="auto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</w:pPr>
      <w:r>
        <w:drawing>
          <wp:inline distT="0" distB="0" distL="114300" distR="114300">
            <wp:extent cx="5269230" cy="2556510"/>
            <wp:effectExtent l="0" t="0" r="7620" b="1524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42788">
      <w:pPr>
        <w:spacing w:after="156" w:afterLines="50" w:line="560" w:lineRule="exact"/>
        <w:jc w:val="left"/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Times New Roman" w:hAnsi="Times New Roman" w:eastAsia="方正小标宋简体"/>
          <w:b/>
          <w:sz w:val="32"/>
          <w:szCs w:val="32"/>
        </w:rPr>
        <w:t>二、年度建设取得的成绩</w:t>
      </w:r>
    </w:p>
    <w:p w14:paraId="3D234DF7">
      <w:pPr>
        <w:spacing w:line="240" w:lineRule="auto"/>
        <w:ind w:firstLine="562" w:firstLineChars="200"/>
        <w:jc w:val="both"/>
        <w:rPr>
          <w:rFonts w:hint="eastAsia" w:ascii="宋体" w:hAnsi="宋体" w:eastAsia="宋体" w:cs="仿宋"/>
          <w:b/>
          <w:bCs/>
          <w:sz w:val="28"/>
          <w:szCs w:val="28"/>
        </w:rPr>
      </w:pPr>
      <w:bookmarkStart w:id="1" w:name="OLE_LINK2"/>
      <w:r>
        <w:rPr>
          <w:rFonts w:hint="eastAsia" w:ascii="宋体" w:hAnsi="宋体" w:eastAsia="宋体"/>
          <w:b/>
          <w:bCs/>
          <w:sz w:val="28"/>
          <w:szCs w:val="28"/>
          <w:highlight w:val="none"/>
          <w:lang w:eastAsia="zh-CN"/>
        </w:rPr>
        <w:t>（</w:t>
      </w:r>
      <w:r>
        <w:rPr>
          <w:rFonts w:hint="eastAsia" w:ascii="宋体" w:hAnsi="宋体" w:eastAsia="宋体"/>
          <w:b/>
          <w:bCs/>
          <w:sz w:val="28"/>
          <w:szCs w:val="28"/>
          <w:highlight w:val="none"/>
          <w:lang w:val="en-US" w:eastAsia="zh-CN"/>
        </w:rPr>
        <w:t>一</w:t>
      </w:r>
      <w:r>
        <w:rPr>
          <w:rFonts w:hint="eastAsia" w:ascii="宋体" w:hAnsi="宋体" w:eastAsia="宋体"/>
          <w:b/>
          <w:bCs/>
          <w:sz w:val="28"/>
          <w:szCs w:val="28"/>
          <w:highlight w:val="none"/>
          <w:lang w:eastAsia="zh-CN"/>
        </w:rPr>
        <w:t>）</w:t>
      </w:r>
      <w:r>
        <w:rPr>
          <w:rFonts w:hint="eastAsia" w:ascii="宋体" w:hAnsi="宋体" w:eastAsia="宋体" w:cs="仿宋"/>
          <w:b/>
          <w:bCs/>
          <w:sz w:val="28"/>
          <w:szCs w:val="28"/>
        </w:rPr>
        <w:t>制度建设</w:t>
      </w:r>
    </w:p>
    <w:p w14:paraId="05C90E35">
      <w:pPr>
        <w:spacing w:line="240" w:lineRule="auto"/>
        <w:ind w:firstLine="560" w:firstLineChars="200"/>
        <w:jc w:val="both"/>
        <w:rPr>
          <w:rFonts w:hint="eastAsia" w:ascii="宋体" w:hAnsi="宋体" w:eastAsia="宋体" w:cs="仿宋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  <w:highlight w:val="none"/>
          <w:lang w:val="en-US" w:eastAsia="zh-CN"/>
        </w:rPr>
        <w:t>2023年，河南中医药大学以国家中医药发展战略为引领，全面落实关于研究生教育的各项规章制度，构建了“三级管理、分类培养、动态优化”的特色体系。学校通过完善校院学位点三级协同管理架构，成立跨院系专项委员会强化责任落实，并依托年度自评与教育部周期性评估形成质量监控闭环；细化分类培养路径，学术学位聚焦科研创新，要求博士生参与国家级科研项目，专业学位则对接执业医师标准，推行“双导师制”及临床技能考核模块，实现学术与职业能力并重；强化师资动态管理，推动学科交叉融合；通过制度创新与资源整合，学位点形成“特色鲜明、质量可控、服务需求”的建设格局，为冲刺更高学科水平奠定基础。</w:t>
      </w:r>
    </w:p>
    <w:p w14:paraId="19132C47">
      <w:pPr>
        <w:spacing w:line="240" w:lineRule="auto"/>
        <w:ind w:firstLine="562" w:firstLineChars="200"/>
        <w:jc w:val="both"/>
        <w:rPr>
          <w:rFonts w:hint="eastAsia" w:ascii="宋体" w:hAnsi="宋体" w:eastAsia="宋体" w:cs="仿宋"/>
          <w:b/>
          <w:bCs/>
          <w:sz w:val="28"/>
          <w:szCs w:val="28"/>
        </w:rPr>
      </w:pPr>
      <w:r>
        <w:rPr>
          <w:rFonts w:hint="eastAsia" w:ascii="宋体" w:hAnsi="宋体" w:eastAsia="宋体" w:cs="仿宋"/>
          <w:b/>
          <w:bCs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仿宋"/>
          <w:b/>
          <w:bCs/>
          <w:sz w:val="28"/>
          <w:szCs w:val="28"/>
          <w:lang w:val="en-US" w:eastAsia="zh-CN"/>
        </w:rPr>
        <w:t>二</w:t>
      </w:r>
      <w:r>
        <w:rPr>
          <w:rFonts w:hint="eastAsia" w:ascii="宋体" w:hAnsi="宋体" w:eastAsia="宋体" w:cs="仿宋"/>
          <w:b/>
          <w:bCs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仿宋"/>
          <w:b/>
          <w:bCs/>
          <w:sz w:val="28"/>
          <w:szCs w:val="28"/>
        </w:rPr>
        <w:t>师资队伍建设</w:t>
      </w:r>
    </w:p>
    <w:p w14:paraId="0A1477F0">
      <w:pPr>
        <w:spacing w:line="240" w:lineRule="auto"/>
        <w:ind w:left="559" w:leftChars="266" w:firstLine="0" w:firstLineChars="0"/>
        <w:rPr>
          <w:rFonts w:hint="default" w:ascii="宋体" w:hAnsi="宋体" w:eastAsia="宋体" w:cs="宋体"/>
          <w:b/>
          <w:bCs/>
          <w:color w:val="000000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color w:val="000000"/>
          <w:kern w:val="2"/>
          <w:sz w:val="28"/>
          <w:szCs w:val="28"/>
          <w:lang w:val="en-US" w:eastAsia="zh-CN" w:bidi="ar-SA"/>
        </w:rPr>
        <w:t>2.1</w:t>
      </w:r>
      <w:r>
        <w:rPr>
          <w:rFonts w:hint="default" w:ascii="宋体" w:hAnsi="宋体" w:eastAsia="宋体" w:cs="宋体"/>
          <w:b/>
          <w:bCs/>
          <w:color w:val="000000"/>
          <w:kern w:val="2"/>
          <w:sz w:val="28"/>
          <w:szCs w:val="28"/>
          <w:lang w:val="en-US" w:eastAsia="zh-CN" w:bidi="ar-SA"/>
        </w:rPr>
        <w:t xml:space="preserve"> 导师遴选</w:t>
      </w:r>
    </w:p>
    <w:p w14:paraId="54B1D2DD">
      <w:pPr>
        <w:spacing w:line="240" w:lineRule="auto"/>
        <w:ind w:firstLine="560" w:firstLineChars="200"/>
        <w:rPr>
          <w:rFonts w:hint="eastAsia" w:ascii="宋体" w:hAnsi="宋体" w:eastAsia="宋体" w:cs="宋体"/>
          <w:b w:val="0"/>
          <w:bCs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2"/>
          <w:sz w:val="28"/>
          <w:szCs w:val="28"/>
          <w:lang w:val="en-US" w:eastAsia="zh-CN" w:bidi="ar-SA"/>
        </w:rPr>
        <w:t>严格按照《河南中医药大学研究生知道教师遴选条例》进行导师遴选。</w:t>
      </w:r>
      <w:r>
        <w:rPr>
          <w:rFonts w:hint="default" w:ascii="宋体" w:hAnsi="宋体" w:eastAsia="宋体" w:cs="宋体"/>
          <w:b/>
          <w:bCs/>
          <w:color w:val="000000"/>
          <w:kern w:val="2"/>
          <w:sz w:val="28"/>
          <w:szCs w:val="28"/>
          <w:lang w:val="en-US" w:eastAsia="zh-CN" w:bidi="ar-SA"/>
        </w:rPr>
        <w:t>①准入标准体系化</w:t>
      </w:r>
      <w:r>
        <w:rPr>
          <w:rFonts w:hint="eastAsia" w:ascii="宋体" w:hAnsi="宋体" w:eastAsia="宋体" w:cs="宋体"/>
          <w:b/>
          <w:bCs/>
          <w:color w:val="000000"/>
          <w:kern w:val="2"/>
          <w:sz w:val="28"/>
          <w:szCs w:val="28"/>
          <w:lang w:val="en-US" w:eastAsia="zh-CN" w:bidi="ar-SA"/>
        </w:rPr>
        <w:t>。</w:t>
      </w:r>
      <w:r>
        <w:rPr>
          <w:rFonts w:hint="default" w:ascii="宋体" w:hAnsi="宋体" w:eastAsia="宋体" w:cs="宋体"/>
          <w:bCs w:val="0"/>
          <w:color w:val="000000"/>
          <w:kern w:val="2"/>
          <w:sz w:val="28"/>
          <w:szCs w:val="28"/>
          <w:lang w:val="en-US" w:eastAsia="zh-CN" w:bidi="ar-SA"/>
        </w:rPr>
        <w:t>申报博士研究生导师须具备正高级职称和博士学位；承担国家级课题的硕士学位正高级职称教师，单项经费达15万元以上者可破格遴选</w:t>
      </w:r>
      <w:r>
        <w:rPr>
          <w:rFonts w:hint="eastAsia" w:ascii="宋体" w:hAnsi="宋体" w:eastAsia="宋体" w:cs="宋体"/>
          <w:bCs w:val="0"/>
          <w:color w:val="000000"/>
          <w:kern w:val="2"/>
          <w:sz w:val="28"/>
          <w:szCs w:val="28"/>
          <w:lang w:val="en-US" w:eastAsia="zh-CN" w:bidi="ar-SA"/>
        </w:rPr>
        <w:t>。</w:t>
      </w:r>
      <w:r>
        <w:rPr>
          <w:rFonts w:hint="default" w:ascii="宋体" w:hAnsi="宋体" w:eastAsia="宋体" w:cs="宋体"/>
          <w:b/>
          <w:bCs/>
          <w:color w:val="000000"/>
          <w:kern w:val="2"/>
          <w:sz w:val="28"/>
          <w:szCs w:val="28"/>
          <w:lang w:val="en-US" w:eastAsia="zh-CN" w:bidi="ar-SA"/>
        </w:rPr>
        <w:t>②遴选程序规范化</w:t>
      </w:r>
      <w:r>
        <w:rPr>
          <w:rFonts w:hint="eastAsia" w:ascii="宋体" w:hAnsi="宋体" w:eastAsia="宋体" w:cs="宋体"/>
          <w:b/>
          <w:bCs/>
          <w:color w:val="000000"/>
          <w:kern w:val="2"/>
          <w:sz w:val="28"/>
          <w:szCs w:val="28"/>
          <w:lang w:val="en-US" w:eastAsia="zh-CN" w:bidi="ar-SA"/>
        </w:rPr>
        <w:t>。</w:t>
      </w:r>
      <w:r>
        <w:rPr>
          <w:rFonts w:hint="default" w:ascii="宋体" w:hAnsi="宋体" w:eastAsia="宋体" w:cs="宋体"/>
          <w:bCs w:val="0"/>
          <w:color w:val="000000"/>
          <w:kern w:val="2"/>
          <w:sz w:val="28"/>
          <w:szCs w:val="28"/>
          <w:lang w:val="en-US" w:eastAsia="zh-CN" w:bidi="ar-SA"/>
        </w:rPr>
        <w:t>实行</w:t>
      </w:r>
      <w:r>
        <w:rPr>
          <w:rFonts w:hint="eastAsia" w:ascii="宋体" w:hAnsi="宋体" w:eastAsia="宋体" w:cs="宋体"/>
          <w:bCs w:val="0"/>
          <w:color w:val="000000"/>
          <w:kern w:val="2"/>
          <w:sz w:val="28"/>
          <w:szCs w:val="28"/>
          <w:lang w:val="en-US" w:eastAsia="zh-CN" w:bidi="ar-SA"/>
        </w:rPr>
        <w:t>“</w:t>
      </w:r>
      <w:r>
        <w:rPr>
          <w:rFonts w:hint="default" w:ascii="宋体" w:hAnsi="宋体" w:eastAsia="宋体" w:cs="宋体"/>
          <w:bCs w:val="0"/>
          <w:color w:val="000000"/>
          <w:kern w:val="2"/>
          <w:sz w:val="28"/>
          <w:szCs w:val="28"/>
          <w:lang w:val="en-US" w:eastAsia="zh-CN" w:bidi="ar-SA"/>
        </w:rPr>
        <w:t>个人申请-</w:t>
      </w:r>
      <w:r>
        <w:rPr>
          <w:rFonts w:hint="eastAsia" w:ascii="宋体" w:hAnsi="宋体" w:eastAsia="宋体" w:cs="宋体"/>
          <w:bCs w:val="0"/>
          <w:color w:val="000000"/>
          <w:kern w:val="2"/>
          <w:sz w:val="28"/>
          <w:szCs w:val="28"/>
          <w:lang w:val="en-US" w:eastAsia="zh-CN" w:bidi="ar-SA"/>
        </w:rPr>
        <w:t>院部审核-</w:t>
      </w:r>
      <w:r>
        <w:rPr>
          <w:rFonts w:hint="default" w:ascii="宋体" w:hAnsi="宋体" w:eastAsia="宋体" w:cs="宋体"/>
          <w:bCs w:val="0"/>
          <w:color w:val="000000"/>
          <w:kern w:val="2"/>
          <w:sz w:val="28"/>
          <w:szCs w:val="28"/>
          <w:lang w:val="en-US" w:eastAsia="zh-CN" w:bidi="ar-SA"/>
        </w:rPr>
        <w:t>学位评定分委员会</w:t>
      </w:r>
      <w:r>
        <w:rPr>
          <w:rFonts w:hint="eastAsia" w:ascii="宋体" w:hAnsi="宋体" w:eastAsia="宋体" w:cs="宋体"/>
          <w:bCs w:val="0"/>
          <w:color w:val="000000"/>
          <w:kern w:val="2"/>
          <w:sz w:val="28"/>
          <w:szCs w:val="28"/>
          <w:lang w:val="en-US" w:eastAsia="zh-CN" w:bidi="ar-SA"/>
        </w:rPr>
        <w:t>推荐</w:t>
      </w:r>
      <w:r>
        <w:rPr>
          <w:rFonts w:hint="default" w:ascii="宋体" w:hAnsi="宋体" w:eastAsia="宋体" w:cs="宋体"/>
          <w:bCs w:val="0"/>
          <w:color w:val="000000"/>
          <w:kern w:val="2"/>
          <w:sz w:val="28"/>
          <w:szCs w:val="28"/>
          <w:lang w:val="en-US" w:eastAsia="zh-CN" w:bidi="ar-SA"/>
        </w:rPr>
        <w:t>-校学位评定委员会审定</w:t>
      </w:r>
      <w:r>
        <w:rPr>
          <w:rFonts w:hint="eastAsia" w:ascii="宋体" w:hAnsi="宋体" w:eastAsia="宋体" w:cs="宋体"/>
          <w:bCs w:val="0"/>
          <w:color w:val="000000"/>
          <w:kern w:val="2"/>
          <w:sz w:val="28"/>
          <w:szCs w:val="28"/>
          <w:lang w:val="en-US" w:eastAsia="zh-CN" w:bidi="ar-SA"/>
        </w:rPr>
        <w:t>”</w:t>
      </w:r>
      <w:r>
        <w:rPr>
          <w:rFonts w:hint="default" w:ascii="宋体" w:hAnsi="宋体" w:eastAsia="宋体" w:cs="宋体"/>
          <w:bCs w:val="0"/>
          <w:color w:val="000000"/>
          <w:kern w:val="2"/>
          <w:sz w:val="28"/>
          <w:szCs w:val="28"/>
          <w:lang w:val="en-US" w:eastAsia="zh-CN" w:bidi="ar-SA"/>
        </w:rPr>
        <w:t>的</w:t>
      </w:r>
      <w:r>
        <w:rPr>
          <w:rFonts w:hint="eastAsia" w:ascii="宋体" w:hAnsi="宋体" w:eastAsia="宋体" w:cs="宋体"/>
          <w:bCs w:val="0"/>
          <w:color w:val="000000"/>
          <w:kern w:val="2"/>
          <w:sz w:val="28"/>
          <w:szCs w:val="28"/>
          <w:lang w:val="en-US" w:eastAsia="zh-CN" w:bidi="ar-SA"/>
        </w:rPr>
        <w:t>四</w:t>
      </w:r>
      <w:r>
        <w:rPr>
          <w:rFonts w:hint="default" w:ascii="宋体" w:hAnsi="宋体" w:eastAsia="宋体" w:cs="宋体"/>
          <w:bCs w:val="0"/>
          <w:color w:val="000000"/>
          <w:kern w:val="2"/>
          <w:sz w:val="28"/>
          <w:szCs w:val="28"/>
          <w:lang w:val="en-US" w:eastAsia="zh-CN" w:bidi="ar-SA"/>
        </w:rPr>
        <w:t>级评审制度</w:t>
      </w:r>
      <w:r>
        <w:rPr>
          <w:rFonts w:hint="eastAsia" w:ascii="宋体" w:hAnsi="宋体" w:eastAsia="宋体" w:cs="宋体"/>
          <w:bCs w:val="0"/>
          <w:color w:val="000000"/>
          <w:kern w:val="2"/>
          <w:sz w:val="28"/>
          <w:szCs w:val="28"/>
          <w:lang w:val="en-US" w:eastAsia="zh-CN" w:bidi="ar-SA"/>
        </w:rPr>
        <w:t>，</w:t>
      </w:r>
      <w:r>
        <w:rPr>
          <w:rFonts w:hint="default" w:ascii="宋体" w:hAnsi="宋体" w:eastAsia="宋体" w:cs="宋体"/>
          <w:bCs w:val="0"/>
          <w:color w:val="000000"/>
          <w:kern w:val="2"/>
          <w:sz w:val="28"/>
          <w:szCs w:val="28"/>
          <w:lang w:val="en-US" w:eastAsia="zh-CN" w:bidi="ar-SA"/>
        </w:rPr>
        <w:t>建立公开透明的遴选机制，确保程序公正、过程公开、结果公平。</w:t>
      </w:r>
      <w:r>
        <w:rPr>
          <w:rFonts w:hint="default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  <w:t>③</w:t>
      </w:r>
      <w:r>
        <w:rPr>
          <w:rFonts w:hint="default" w:ascii="宋体" w:hAnsi="宋体" w:eastAsia="宋体" w:cs="宋体"/>
          <w:b/>
          <w:bCs/>
          <w:color w:val="000000"/>
          <w:kern w:val="2"/>
          <w:sz w:val="28"/>
          <w:szCs w:val="28"/>
          <w:lang w:val="en-US" w:eastAsia="zh-CN" w:bidi="ar-SA"/>
        </w:rPr>
        <w:t>动态管理科学化</w:t>
      </w:r>
      <w:r>
        <w:rPr>
          <w:rFonts w:hint="eastAsia" w:ascii="宋体" w:hAnsi="宋体" w:eastAsia="宋体" w:cs="宋体"/>
          <w:b/>
          <w:bCs/>
          <w:color w:val="000000"/>
          <w:kern w:val="2"/>
          <w:sz w:val="28"/>
          <w:szCs w:val="28"/>
          <w:lang w:val="en-US" w:eastAsia="zh-CN" w:bidi="ar-SA"/>
        </w:rPr>
        <w:t>。</w:t>
      </w:r>
      <w:r>
        <w:rPr>
          <w:rFonts w:hint="default" w:ascii="宋体" w:hAnsi="宋体" w:eastAsia="宋体" w:cs="宋体"/>
          <w:bCs w:val="0"/>
          <w:color w:val="000000"/>
          <w:kern w:val="2"/>
          <w:sz w:val="28"/>
          <w:szCs w:val="28"/>
          <w:lang w:val="en-US" w:eastAsia="zh-CN" w:bidi="ar-SA"/>
        </w:rPr>
        <w:t>将学术业绩、培养质量、科研经费等指标纳入考核范畴</w:t>
      </w:r>
      <w:r>
        <w:rPr>
          <w:rFonts w:hint="eastAsia" w:ascii="宋体" w:hAnsi="宋体" w:eastAsia="宋体" w:cs="宋体"/>
          <w:b w:val="0"/>
          <w:bCs/>
          <w:color w:val="auto"/>
          <w:sz w:val="28"/>
          <w:szCs w:val="28"/>
        </w:rPr>
        <w:t>核定招生资格</w:t>
      </w:r>
      <w:r>
        <w:rPr>
          <w:rFonts w:hint="eastAsia" w:ascii="宋体" w:hAnsi="宋体" w:eastAsia="宋体" w:cs="宋体"/>
          <w:b w:val="0"/>
          <w:bCs/>
          <w:color w:val="auto"/>
          <w:sz w:val="28"/>
          <w:szCs w:val="28"/>
          <w:lang w:eastAsia="zh-CN"/>
        </w:rPr>
        <w:t>，</w:t>
      </w:r>
      <w:r>
        <w:rPr>
          <w:rFonts w:hint="default" w:ascii="宋体" w:hAnsi="宋体" w:eastAsia="宋体" w:cs="宋体"/>
          <w:bCs w:val="0"/>
          <w:color w:val="000000"/>
          <w:kern w:val="2"/>
          <w:sz w:val="28"/>
          <w:szCs w:val="28"/>
          <w:lang w:val="en-US" w:eastAsia="zh-CN" w:bidi="ar-SA"/>
        </w:rPr>
        <w:t>实行</w:t>
      </w:r>
      <w:r>
        <w:rPr>
          <w:rFonts w:hint="eastAsia" w:ascii="宋体" w:hAnsi="宋体" w:eastAsia="宋体" w:cs="宋体"/>
          <w:bCs w:val="0"/>
          <w:color w:val="000000"/>
          <w:kern w:val="2"/>
          <w:sz w:val="28"/>
          <w:szCs w:val="28"/>
          <w:lang w:val="en-US" w:eastAsia="zh-CN" w:bidi="ar-SA"/>
        </w:rPr>
        <w:t>“</w:t>
      </w:r>
      <w:r>
        <w:rPr>
          <w:rFonts w:hint="default" w:ascii="宋体" w:hAnsi="宋体" w:eastAsia="宋体" w:cs="宋体"/>
          <w:bCs w:val="0"/>
          <w:color w:val="000000"/>
          <w:kern w:val="2"/>
          <w:sz w:val="28"/>
          <w:szCs w:val="28"/>
          <w:lang w:val="en-US" w:eastAsia="zh-CN" w:bidi="ar-SA"/>
        </w:rPr>
        <w:t>能上能下</w:t>
      </w:r>
      <w:r>
        <w:rPr>
          <w:rFonts w:hint="eastAsia" w:ascii="宋体" w:hAnsi="宋体" w:eastAsia="宋体" w:cs="宋体"/>
          <w:bCs w:val="0"/>
          <w:color w:val="000000"/>
          <w:kern w:val="2"/>
          <w:sz w:val="28"/>
          <w:szCs w:val="28"/>
          <w:lang w:val="en-US" w:eastAsia="zh-CN" w:bidi="ar-SA"/>
        </w:rPr>
        <w:t>”</w:t>
      </w:r>
      <w:r>
        <w:rPr>
          <w:rFonts w:hint="default" w:ascii="宋体" w:hAnsi="宋体" w:eastAsia="宋体" w:cs="宋体"/>
          <w:bCs w:val="0"/>
          <w:color w:val="000000"/>
          <w:kern w:val="2"/>
          <w:sz w:val="28"/>
          <w:szCs w:val="28"/>
          <w:lang w:val="en-US" w:eastAsia="zh-CN" w:bidi="ar-SA"/>
        </w:rPr>
        <w:t>的动态管理机制，强化导师岗位责任意识。</w:t>
      </w:r>
    </w:p>
    <w:p w14:paraId="5B80629E">
      <w:pPr>
        <w:spacing w:line="240" w:lineRule="auto"/>
        <w:ind w:left="559" w:leftChars="266" w:firstLine="0" w:firstLineChars="0"/>
        <w:rPr>
          <w:rFonts w:hint="default" w:ascii="宋体" w:hAnsi="宋体" w:eastAsia="宋体" w:cs="宋体"/>
          <w:b/>
          <w:bCs w:val="0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/>
          <w:bCs w:val="0"/>
          <w:color w:val="auto"/>
          <w:kern w:val="2"/>
          <w:sz w:val="28"/>
          <w:szCs w:val="28"/>
          <w:lang w:val="en-US" w:eastAsia="zh-CN" w:bidi="ar-SA"/>
        </w:rPr>
        <w:t>2.</w:t>
      </w:r>
      <w:r>
        <w:rPr>
          <w:rFonts w:hint="default" w:ascii="宋体" w:hAnsi="宋体" w:eastAsia="宋体" w:cs="宋体"/>
          <w:b/>
          <w:bCs w:val="0"/>
          <w:color w:val="auto"/>
          <w:kern w:val="2"/>
          <w:sz w:val="28"/>
          <w:szCs w:val="28"/>
          <w:lang w:val="en-US" w:eastAsia="zh-CN" w:bidi="ar-SA"/>
        </w:rPr>
        <w:t>2 导师培训</w:t>
      </w:r>
    </w:p>
    <w:p w14:paraId="0374B5BE">
      <w:pPr>
        <w:spacing w:line="240" w:lineRule="auto"/>
        <w:ind w:firstLine="560" w:firstLineChars="200"/>
        <w:rPr>
          <w:rFonts w:hint="eastAsia" w:ascii="宋体" w:hAnsi="宋体" w:eastAsia="宋体" w:cs="宋体"/>
          <w:b w:val="0"/>
          <w:bCs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2"/>
          <w:sz w:val="28"/>
          <w:szCs w:val="28"/>
          <w:lang w:val="en-US" w:eastAsia="zh-CN" w:bidi="ar-SA"/>
        </w:rPr>
        <w:t>严格按照《</w:t>
      </w:r>
      <w: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  <w:t>河南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中医药大学研究生</w:t>
      </w:r>
      <w: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  <w:t>指导教师工作条例</w:t>
      </w:r>
      <w:r>
        <w:rPr>
          <w:rFonts w:hint="eastAsia" w:ascii="宋体" w:hAnsi="宋体" w:eastAsia="宋体" w:cs="宋体"/>
          <w:b w:val="0"/>
          <w:bCs w:val="0"/>
          <w:color w:val="000000"/>
          <w:kern w:val="2"/>
          <w:sz w:val="28"/>
          <w:szCs w:val="28"/>
          <w:lang w:val="en-US" w:eastAsia="zh-CN" w:bidi="ar-SA"/>
        </w:rPr>
        <w:t>》等文件，</w:t>
      </w:r>
      <w:r>
        <w:rPr>
          <w:rFonts w:hint="default" w:ascii="宋体" w:hAnsi="宋体" w:eastAsia="宋体" w:cs="宋体"/>
          <w:b w:val="0"/>
          <w:bCs/>
          <w:color w:val="auto"/>
          <w:kern w:val="2"/>
          <w:sz w:val="28"/>
          <w:szCs w:val="28"/>
          <w:lang w:val="en-US" w:eastAsia="zh-CN" w:bidi="ar-SA"/>
        </w:rPr>
        <w:t>构建全方位、多层次的导师培训机制</w:t>
      </w:r>
      <w:r>
        <w:rPr>
          <w:rFonts w:hint="eastAsia" w:ascii="宋体" w:hAnsi="宋体" w:eastAsia="宋体" w:cs="宋体"/>
          <w:b w:val="0"/>
          <w:bCs/>
          <w:color w:val="auto"/>
          <w:kern w:val="2"/>
          <w:sz w:val="28"/>
          <w:szCs w:val="28"/>
          <w:lang w:val="en-US" w:eastAsia="zh-CN" w:bidi="ar-SA"/>
        </w:rPr>
        <w:t>。</w:t>
      </w:r>
      <w:r>
        <w:rPr>
          <w:rFonts w:hint="default" w:ascii="宋体" w:hAnsi="宋体" w:eastAsia="宋体" w:cs="宋体"/>
          <w:b/>
          <w:bCs/>
          <w:color w:val="000000"/>
          <w:kern w:val="2"/>
          <w:sz w:val="28"/>
          <w:szCs w:val="28"/>
          <w:lang w:val="en-US" w:eastAsia="zh-CN" w:bidi="ar-SA"/>
        </w:rPr>
        <w:t>①</w:t>
      </w:r>
      <w:r>
        <w:rPr>
          <w:rFonts w:hint="default" w:ascii="宋体" w:hAnsi="宋体" w:eastAsia="宋体" w:cs="宋体"/>
          <w:b/>
          <w:bCs w:val="0"/>
          <w:color w:val="auto"/>
          <w:kern w:val="2"/>
          <w:sz w:val="28"/>
          <w:szCs w:val="28"/>
          <w:lang w:val="en-US" w:eastAsia="zh-CN" w:bidi="ar-SA"/>
        </w:rPr>
        <w:t>培训机制系统化</w:t>
      </w:r>
      <w:r>
        <w:rPr>
          <w:rFonts w:hint="eastAsia" w:ascii="宋体" w:hAnsi="宋体" w:eastAsia="宋体" w:cs="宋体"/>
          <w:b/>
          <w:bCs w:val="0"/>
          <w:color w:val="auto"/>
          <w:kern w:val="2"/>
          <w:sz w:val="28"/>
          <w:szCs w:val="28"/>
          <w:lang w:val="en-US" w:eastAsia="zh-CN" w:bidi="ar-SA"/>
        </w:rPr>
        <w:t>。</w:t>
      </w:r>
      <w:r>
        <w:rPr>
          <w:rFonts w:hint="default" w:ascii="宋体" w:hAnsi="宋体" w:eastAsia="宋体" w:cs="宋体"/>
          <w:b w:val="0"/>
          <w:bCs/>
          <w:color w:val="auto"/>
          <w:kern w:val="2"/>
          <w:sz w:val="28"/>
          <w:szCs w:val="28"/>
          <w:lang w:val="en-US" w:eastAsia="zh-CN" w:bidi="ar-SA"/>
        </w:rPr>
        <w:t>建立</w:t>
      </w:r>
      <w:r>
        <w:rPr>
          <w:rFonts w:hint="eastAsia" w:ascii="宋体" w:hAnsi="宋体" w:eastAsia="宋体" w:cs="宋体"/>
          <w:b w:val="0"/>
          <w:bCs/>
          <w:color w:val="auto"/>
          <w:kern w:val="2"/>
          <w:sz w:val="28"/>
          <w:szCs w:val="28"/>
          <w:lang w:val="en-US" w:eastAsia="zh-CN" w:bidi="ar-SA"/>
        </w:rPr>
        <w:t>“</w:t>
      </w:r>
      <w:r>
        <w:rPr>
          <w:rFonts w:hint="default" w:ascii="宋体" w:hAnsi="宋体" w:eastAsia="宋体" w:cs="宋体"/>
          <w:b w:val="0"/>
          <w:bCs/>
          <w:color w:val="auto"/>
          <w:kern w:val="2"/>
          <w:sz w:val="28"/>
          <w:szCs w:val="28"/>
          <w:lang w:val="en-US" w:eastAsia="zh-CN" w:bidi="ar-SA"/>
        </w:rPr>
        <w:t>岗前培训-在岗培训-专项培训</w:t>
      </w:r>
      <w:r>
        <w:rPr>
          <w:rFonts w:hint="eastAsia" w:ascii="宋体" w:hAnsi="宋体" w:eastAsia="宋体" w:cs="宋体"/>
          <w:b w:val="0"/>
          <w:bCs/>
          <w:color w:val="auto"/>
          <w:kern w:val="2"/>
          <w:sz w:val="28"/>
          <w:szCs w:val="28"/>
          <w:lang w:val="en-US" w:eastAsia="zh-CN" w:bidi="ar-SA"/>
        </w:rPr>
        <w:t>”</w:t>
      </w:r>
      <w:r>
        <w:rPr>
          <w:rFonts w:hint="default" w:ascii="宋体" w:hAnsi="宋体" w:eastAsia="宋体" w:cs="宋体"/>
          <w:b w:val="0"/>
          <w:bCs/>
          <w:color w:val="auto"/>
          <w:kern w:val="2"/>
          <w:sz w:val="28"/>
          <w:szCs w:val="28"/>
          <w:lang w:val="en-US" w:eastAsia="zh-CN" w:bidi="ar-SA"/>
        </w:rPr>
        <w:t>三级培训体系；实施培训效果评估制度，将培训考核结果纳入导师年度考核。</w:t>
      </w:r>
      <w:r>
        <w:rPr>
          <w:rFonts w:hint="default" w:ascii="宋体" w:hAnsi="宋体" w:eastAsia="宋体" w:cs="宋体"/>
          <w:b/>
          <w:bCs/>
          <w:color w:val="000000"/>
          <w:kern w:val="2"/>
          <w:sz w:val="28"/>
          <w:szCs w:val="28"/>
          <w:lang w:val="en-US" w:eastAsia="zh-CN" w:bidi="ar-SA"/>
        </w:rPr>
        <w:t>②</w:t>
      </w:r>
      <w:r>
        <w:rPr>
          <w:rFonts w:hint="default" w:ascii="宋体" w:hAnsi="宋体" w:eastAsia="宋体" w:cs="宋体"/>
          <w:b/>
          <w:bCs/>
          <w:color w:val="auto"/>
          <w:kern w:val="2"/>
          <w:sz w:val="28"/>
          <w:szCs w:val="28"/>
          <w:lang w:val="en-US" w:eastAsia="zh-CN" w:bidi="ar-SA"/>
        </w:rPr>
        <w:t>培训形式多元化</w:t>
      </w:r>
      <w:r>
        <w:rPr>
          <w:rFonts w:hint="eastAsia" w:ascii="宋体" w:hAnsi="宋体" w:eastAsia="宋体" w:cs="宋体"/>
          <w:b/>
          <w:bCs/>
          <w:color w:val="auto"/>
          <w:kern w:val="2"/>
          <w:sz w:val="28"/>
          <w:szCs w:val="28"/>
          <w:lang w:val="en-US" w:eastAsia="zh-CN" w:bidi="ar-SA"/>
        </w:rPr>
        <w:t>。</w:t>
      </w:r>
      <w:r>
        <w:rPr>
          <w:rFonts w:hint="default" w:ascii="宋体" w:hAnsi="宋体" w:eastAsia="宋体" w:cs="宋体"/>
          <w:b w:val="0"/>
          <w:bCs/>
          <w:color w:val="auto"/>
          <w:kern w:val="2"/>
          <w:sz w:val="28"/>
          <w:szCs w:val="28"/>
          <w:lang w:val="en-US" w:eastAsia="zh-CN" w:bidi="ar-SA"/>
        </w:rPr>
        <w:t>线上开展常态化</w:t>
      </w:r>
      <w:r>
        <w:rPr>
          <w:rFonts w:hint="eastAsia" w:ascii="宋体" w:hAnsi="宋体" w:eastAsia="宋体" w:cs="宋体"/>
          <w:b w:val="0"/>
          <w:bCs/>
          <w:color w:val="auto"/>
          <w:kern w:val="2"/>
          <w:sz w:val="28"/>
          <w:szCs w:val="28"/>
          <w:lang w:val="en-US" w:eastAsia="zh-CN" w:bidi="ar-SA"/>
        </w:rPr>
        <w:t>培训</w:t>
      </w:r>
      <w:r>
        <w:rPr>
          <w:rFonts w:hint="default" w:ascii="宋体" w:hAnsi="宋体" w:eastAsia="宋体" w:cs="宋体"/>
          <w:b w:val="0"/>
          <w:bCs/>
          <w:color w:val="auto"/>
          <w:kern w:val="2"/>
          <w:sz w:val="28"/>
          <w:szCs w:val="28"/>
          <w:lang w:val="en-US" w:eastAsia="zh-CN" w:bidi="ar-SA"/>
        </w:rPr>
        <w:t>学习；线下组织专家报告、经验分享、学术沙龙等多样化活动</w:t>
      </w:r>
      <w:r>
        <w:rPr>
          <w:rFonts w:hint="eastAsia" w:ascii="宋体" w:hAnsi="宋体" w:eastAsia="宋体" w:cs="宋体"/>
          <w:b w:val="0"/>
          <w:bCs/>
          <w:color w:val="auto"/>
          <w:kern w:val="2"/>
          <w:sz w:val="28"/>
          <w:szCs w:val="28"/>
          <w:lang w:val="en-US" w:eastAsia="zh-CN" w:bidi="ar-SA"/>
        </w:rPr>
        <w:t>。</w:t>
      </w:r>
      <w:r>
        <w:rPr>
          <w:rFonts w:hint="default" w:ascii="宋体" w:hAnsi="宋体" w:eastAsia="宋体" w:cs="宋体"/>
          <w:b w:val="0"/>
          <w:bCs/>
          <w:color w:val="auto"/>
          <w:kern w:val="2"/>
          <w:sz w:val="28"/>
          <w:szCs w:val="28"/>
          <w:lang w:val="en-US" w:eastAsia="zh-CN" w:bidi="ar-SA"/>
        </w:rPr>
        <w:t>202</w:t>
      </w:r>
      <w:r>
        <w:rPr>
          <w:rFonts w:hint="eastAsia" w:ascii="宋体" w:hAnsi="宋体" w:eastAsia="宋体" w:cs="宋体"/>
          <w:b w:val="0"/>
          <w:bCs/>
          <w:color w:val="auto"/>
          <w:kern w:val="2"/>
          <w:sz w:val="28"/>
          <w:szCs w:val="28"/>
          <w:lang w:val="en-US" w:eastAsia="zh-CN" w:bidi="ar-SA"/>
        </w:rPr>
        <w:t>3</w:t>
      </w:r>
      <w:r>
        <w:rPr>
          <w:rFonts w:hint="default" w:ascii="宋体" w:hAnsi="宋体" w:eastAsia="宋体" w:cs="宋体"/>
          <w:b w:val="0"/>
          <w:bCs/>
          <w:color w:val="auto"/>
          <w:kern w:val="2"/>
          <w:sz w:val="28"/>
          <w:szCs w:val="28"/>
          <w:lang w:val="en-US" w:eastAsia="zh-CN" w:bidi="ar-SA"/>
        </w:rPr>
        <w:t>年累计开展各类培训</w:t>
      </w:r>
      <w:r>
        <w:rPr>
          <w:rFonts w:hint="eastAsia" w:ascii="宋体" w:hAnsi="宋体" w:eastAsia="宋体" w:cs="宋体"/>
          <w:b w:val="0"/>
          <w:bCs/>
          <w:color w:val="auto"/>
          <w:kern w:val="2"/>
          <w:sz w:val="28"/>
          <w:szCs w:val="28"/>
          <w:lang w:val="en-US" w:eastAsia="zh-CN" w:bidi="ar-SA"/>
        </w:rPr>
        <w:t>10</w:t>
      </w:r>
      <w:r>
        <w:rPr>
          <w:rFonts w:hint="default" w:ascii="宋体" w:hAnsi="宋体" w:eastAsia="宋体" w:cs="宋体"/>
          <w:b w:val="0"/>
          <w:bCs/>
          <w:color w:val="auto"/>
          <w:kern w:val="2"/>
          <w:sz w:val="28"/>
          <w:szCs w:val="28"/>
          <w:lang w:val="en-US" w:eastAsia="zh-CN" w:bidi="ar-SA"/>
        </w:rPr>
        <w:t>次</w:t>
      </w:r>
      <w:r>
        <w:rPr>
          <w:rFonts w:hint="eastAsia" w:ascii="宋体" w:hAnsi="宋体" w:eastAsia="宋体" w:cs="宋体"/>
          <w:b w:val="0"/>
          <w:bCs/>
          <w:color w:val="auto"/>
          <w:kern w:val="2"/>
          <w:sz w:val="28"/>
          <w:szCs w:val="28"/>
          <w:lang w:val="en-US" w:eastAsia="zh-CN" w:bidi="ar-SA"/>
        </w:rPr>
        <w:t>、培训人数509人次</w:t>
      </w:r>
      <w:r>
        <w:rPr>
          <w:rFonts w:hint="default" w:ascii="宋体" w:hAnsi="宋体" w:eastAsia="宋体" w:cs="宋体"/>
          <w:b w:val="0"/>
          <w:bCs/>
          <w:color w:val="auto"/>
          <w:kern w:val="2"/>
          <w:sz w:val="28"/>
          <w:szCs w:val="28"/>
          <w:lang w:val="en-US" w:eastAsia="zh-CN" w:bidi="ar-SA"/>
        </w:rPr>
        <w:t>，实现导师培训全覆盖。</w:t>
      </w:r>
      <w:r>
        <w:rPr>
          <w:rFonts w:hint="default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  <w:t>③</w:t>
      </w:r>
      <w:r>
        <w:rPr>
          <w:rFonts w:hint="default" w:ascii="宋体" w:hAnsi="宋体" w:eastAsia="宋体" w:cs="宋体"/>
          <w:b/>
          <w:bCs/>
          <w:color w:val="auto"/>
          <w:kern w:val="2"/>
          <w:sz w:val="28"/>
          <w:szCs w:val="28"/>
          <w:lang w:val="en-US" w:eastAsia="zh-CN" w:bidi="ar-SA"/>
        </w:rPr>
        <w:t>培训方案精准化</w:t>
      </w:r>
      <w:r>
        <w:rPr>
          <w:rFonts w:hint="eastAsia" w:ascii="宋体" w:hAnsi="宋体" w:eastAsia="宋体" w:cs="宋体"/>
          <w:b/>
          <w:bCs/>
          <w:color w:val="auto"/>
          <w:kern w:val="2"/>
          <w:sz w:val="28"/>
          <w:szCs w:val="28"/>
          <w:lang w:val="en-US" w:eastAsia="zh-CN" w:bidi="ar-SA"/>
        </w:rPr>
        <w:t>。</w:t>
      </w:r>
      <w:r>
        <w:rPr>
          <w:rFonts w:hint="eastAsia" w:ascii="宋体" w:hAnsi="宋体" w:eastAsia="宋体" w:cs="宋体"/>
          <w:b w:val="0"/>
          <w:bCs/>
          <w:color w:val="auto"/>
          <w:kern w:val="2"/>
          <w:sz w:val="28"/>
          <w:szCs w:val="28"/>
          <w:lang w:val="en-US" w:eastAsia="zh-CN" w:bidi="ar-SA"/>
        </w:rPr>
        <w:t>实施</w:t>
      </w:r>
      <w:r>
        <w:rPr>
          <w:rFonts w:hint="default" w:ascii="宋体" w:hAnsi="宋体" w:eastAsia="宋体" w:cs="宋体"/>
          <w:b w:val="0"/>
          <w:bCs/>
          <w:color w:val="auto"/>
          <w:kern w:val="2"/>
          <w:sz w:val="28"/>
          <w:szCs w:val="28"/>
          <w:lang w:val="en-US" w:eastAsia="zh-CN" w:bidi="ar-SA"/>
        </w:rPr>
        <w:t>新聘导师侧重岗位职责培训</w:t>
      </w:r>
      <w:r>
        <w:rPr>
          <w:rFonts w:hint="eastAsia" w:ascii="宋体" w:hAnsi="宋体" w:eastAsia="宋体" w:cs="宋体"/>
          <w:b w:val="0"/>
          <w:bCs/>
          <w:color w:val="auto"/>
          <w:kern w:val="2"/>
          <w:sz w:val="28"/>
          <w:szCs w:val="28"/>
          <w:lang w:val="en-US" w:eastAsia="zh-CN" w:bidi="ar-SA"/>
        </w:rPr>
        <w:t>、</w:t>
      </w:r>
      <w:r>
        <w:rPr>
          <w:rFonts w:hint="default" w:ascii="宋体" w:hAnsi="宋体" w:eastAsia="宋体" w:cs="宋体"/>
          <w:b w:val="0"/>
          <w:bCs/>
          <w:color w:val="auto"/>
          <w:kern w:val="2"/>
          <w:sz w:val="28"/>
          <w:szCs w:val="28"/>
          <w:lang w:val="en-US" w:eastAsia="zh-CN" w:bidi="ar-SA"/>
        </w:rPr>
        <w:t>在岗导师强化能力提升培训</w:t>
      </w:r>
      <w:r>
        <w:rPr>
          <w:rFonts w:hint="eastAsia" w:ascii="宋体" w:hAnsi="宋体" w:eastAsia="宋体" w:cs="宋体"/>
          <w:b w:val="0"/>
          <w:bCs/>
          <w:color w:val="auto"/>
          <w:kern w:val="2"/>
          <w:sz w:val="28"/>
          <w:szCs w:val="28"/>
          <w:lang w:val="en-US" w:eastAsia="zh-CN" w:bidi="ar-SA"/>
        </w:rPr>
        <w:t>的</w:t>
      </w:r>
      <w:r>
        <w:rPr>
          <w:rFonts w:hint="default" w:ascii="宋体" w:hAnsi="宋体" w:eastAsia="宋体" w:cs="宋体"/>
          <w:b w:val="0"/>
          <w:bCs/>
          <w:color w:val="auto"/>
          <w:kern w:val="2"/>
          <w:sz w:val="28"/>
          <w:szCs w:val="28"/>
          <w:lang w:val="en-US" w:eastAsia="zh-CN" w:bidi="ar-SA"/>
        </w:rPr>
        <w:t>分类培训</w:t>
      </w:r>
      <w:r>
        <w:rPr>
          <w:rFonts w:hint="eastAsia" w:ascii="宋体" w:hAnsi="宋体" w:eastAsia="宋体" w:cs="宋体"/>
          <w:b w:val="0"/>
          <w:bCs/>
          <w:color w:val="auto"/>
          <w:kern w:val="2"/>
          <w:sz w:val="28"/>
          <w:szCs w:val="28"/>
          <w:lang w:val="en-US" w:eastAsia="zh-CN" w:bidi="ar-SA"/>
        </w:rPr>
        <w:t>；</w:t>
      </w:r>
      <w:r>
        <w:rPr>
          <w:rFonts w:hint="default" w:ascii="宋体" w:hAnsi="宋体" w:eastAsia="宋体" w:cs="宋体"/>
          <w:b w:val="0"/>
          <w:bCs/>
          <w:color w:val="auto"/>
          <w:kern w:val="2"/>
          <w:sz w:val="28"/>
          <w:szCs w:val="28"/>
          <w:lang w:val="en-US" w:eastAsia="zh-CN" w:bidi="ar-SA"/>
        </w:rPr>
        <w:t>开展师德师风、指导方法、学术规范等专题培训</w:t>
      </w:r>
      <w:r>
        <w:rPr>
          <w:rFonts w:hint="eastAsia" w:ascii="宋体" w:hAnsi="宋体" w:eastAsia="宋体" w:cs="宋体"/>
          <w:b w:val="0"/>
          <w:bCs/>
          <w:color w:val="auto"/>
          <w:kern w:val="2"/>
          <w:sz w:val="28"/>
          <w:szCs w:val="28"/>
          <w:lang w:val="en-US" w:eastAsia="zh-CN" w:bidi="ar-SA"/>
        </w:rPr>
        <w:t>；并</w:t>
      </w:r>
      <w:r>
        <w:rPr>
          <w:rFonts w:hint="default" w:ascii="宋体" w:hAnsi="宋体" w:eastAsia="宋体" w:cs="宋体"/>
          <w:b w:val="0"/>
          <w:bCs/>
          <w:color w:val="auto"/>
          <w:kern w:val="2"/>
          <w:sz w:val="28"/>
          <w:szCs w:val="28"/>
          <w:lang w:val="en-US" w:eastAsia="zh-CN" w:bidi="ar-SA"/>
        </w:rPr>
        <w:t>建立培训档案，实施跟踪评估，确保培训实效。</w:t>
      </w:r>
    </w:p>
    <w:p w14:paraId="75578B16">
      <w:pPr>
        <w:spacing w:line="240" w:lineRule="auto"/>
        <w:ind w:left="559" w:leftChars="266" w:firstLine="0" w:firstLineChars="0"/>
        <w:rPr>
          <w:rFonts w:hint="default" w:ascii="宋体" w:hAnsi="宋体" w:eastAsia="宋体" w:cs="宋体"/>
          <w:b/>
          <w:bCs w:val="0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/>
          <w:bCs w:val="0"/>
          <w:color w:val="auto"/>
          <w:kern w:val="2"/>
          <w:sz w:val="28"/>
          <w:szCs w:val="28"/>
          <w:lang w:val="en-US" w:eastAsia="zh-CN" w:bidi="ar-SA"/>
        </w:rPr>
        <w:t>2</w:t>
      </w:r>
      <w:r>
        <w:rPr>
          <w:rFonts w:hint="default" w:ascii="宋体" w:hAnsi="宋体" w:eastAsia="宋体" w:cs="宋体"/>
          <w:b/>
          <w:bCs w:val="0"/>
          <w:color w:val="auto"/>
          <w:kern w:val="2"/>
          <w:sz w:val="28"/>
          <w:szCs w:val="28"/>
          <w:lang w:val="en-US" w:eastAsia="zh-CN" w:bidi="ar-SA"/>
        </w:rPr>
        <w:t>.3 导师考核评价</w:t>
      </w:r>
    </w:p>
    <w:p w14:paraId="41826D7B">
      <w:pPr>
        <w:spacing w:line="240" w:lineRule="auto"/>
        <w:ind w:firstLine="560" w:firstLineChars="200"/>
        <w:rPr>
          <w:rFonts w:hint="eastAsia" w:ascii="宋体" w:hAnsi="宋体" w:eastAsia="宋体" w:cs="仿宋"/>
          <w:sz w:val="28"/>
          <w:szCs w:val="28"/>
        </w:rPr>
      </w:pPr>
      <w:r>
        <w:rPr>
          <w:rFonts w:hint="default" w:ascii="宋体" w:hAnsi="宋体" w:eastAsia="宋体" w:cs="宋体"/>
          <w:b w:val="0"/>
          <w:bCs/>
          <w:color w:val="auto"/>
          <w:kern w:val="2"/>
          <w:sz w:val="28"/>
          <w:szCs w:val="28"/>
          <w:lang w:val="en-US" w:eastAsia="zh-CN" w:bidi="ar-SA"/>
        </w:rPr>
        <w:t>严格执行《河南中医药大学研究生指导教师考核办法》，建立科学的考核机制</w:t>
      </w:r>
      <w:r>
        <w:rPr>
          <w:rFonts w:hint="eastAsia" w:ascii="宋体" w:hAnsi="宋体" w:eastAsia="宋体" w:cs="宋体"/>
          <w:b w:val="0"/>
          <w:bCs/>
          <w:color w:val="auto"/>
          <w:kern w:val="2"/>
          <w:sz w:val="28"/>
          <w:szCs w:val="28"/>
          <w:lang w:val="en-US" w:eastAsia="zh-CN" w:bidi="ar-SA"/>
        </w:rPr>
        <w:t>。</w:t>
      </w:r>
      <w:r>
        <w:rPr>
          <w:rFonts w:hint="default" w:ascii="宋体" w:hAnsi="宋体" w:eastAsia="宋体" w:cs="宋体"/>
          <w:b/>
          <w:bCs/>
          <w:color w:val="auto"/>
          <w:kern w:val="0"/>
          <w:sz w:val="28"/>
          <w:szCs w:val="28"/>
          <w:lang w:val="en-US" w:eastAsia="zh-CN" w:bidi="ar"/>
        </w:rPr>
        <w:t>①</w:t>
      </w:r>
      <w:r>
        <w:rPr>
          <w:rFonts w:hint="default" w:ascii="宋体" w:hAnsi="宋体" w:eastAsia="宋体" w:cs="宋体"/>
          <w:b/>
          <w:bCs w:val="0"/>
          <w:color w:val="auto"/>
          <w:kern w:val="2"/>
          <w:sz w:val="28"/>
          <w:szCs w:val="28"/>
          <w:lang w:val="en-US" w:eastAsia="zh-CN" w:bidi="ar-SA"/>
        </w:rPr>
        <w:t>考核指标体系</w:t>
      </w:r>
      <w:r>
        <w:rPr>
          <w:rFonts w:hint="eastAsia" w:ascii="宋体" w:hAnsi="宋体" w:eastAsia="宋体" w:cs="宋体"/>
          <w:b/>
          <w:bCs w:val="0"/>
          <w:color w:val="auto"/>
          <w:kern w:val="2"/>
          <w:sz w:val="28"/>
          <w:szCs w:val="28"/>
          <w:lang w:val="en-US" w:eastAsia="zh-CN" w:bidi="ar-SA"/>
        </w:rPr>
        <w:t>：</w:t>
      </w:r>
      <w:r>
        <w:rPr>
          <w:rFonts w:hint="default" w:ascii="宋体" w:hAnsi="宋体" w:eastAsia="宋体" w:cs="宋体"/>
          <w:b w:val="0"/>
          <w:bCs/>
          <w:color w:val="auto"/>
          <w:kern w:val="2"/>
          <w:sz w:val="28"/>
          <w:szCs w:val="28"/>
          <w:lang w:val="en-US" w:eastAsia="zh-CN" w:bidi="ar-SA"/>
        </w:rPr>
        <w:t>实行</w:t>
      </w:r>
      <w:r>
        <w:rPr>
          <w:rFonts w:hint="eastAsia" w:ascii="宋体" w:hAnsi="宋体" w:eastAsia="宋体" w:cs="宋体"/>
          <w:b w:val="0"/>
          <w:bCs/>
          <w:color w:val="auto"/>
          <w:kern w:val="2"/>
          <w:sz w:val="28"/>
          <w:szCs w:val="28"/>
          <w:lang w:val="en-US" w:eastAsia="zh-CN" w:bidi="ar-SA"/>
        </w:rPr>
        <w:t>“</w:t>
      </w:r>
      <w:r>
        <w:rPr>
          <w:rFonts w:hint="default" w:ascii="宋体" w:hAnsi="宋体" w:eastAsia="宋体" w:cs="宋体"/>
          <w:b w:val="0"/>
          <w:bCs/>
          <w:color w:val="auto"/>
          <w:kern w:val="2"/>
          <w:sz w:val="28"/>
          <w:szCs w:val="28"/>
          <w:lang w:val="en-US" w:eastAsia="zh-CN" w:bidi="ar-SA"/>
        </w:rPr>
        <w:t>德、能、勤、绩</w:t>
      </w:r>
      <w:r>
        <w:rPr>
          <w:rFonts w:hint="eastAsia" w:ascii="宋体" w:hAnsi="宋体" w:eastAsia="宋体" w:cs="宋体"/>
          <w:b w:val="0"/>
          <w:bCs/>
          <w:color w:val="auto"/>
          <w:kern w:val="2"/>
          <w:sz w:val="28"/>
          <w:szCs w:val="28"/>
          <w:lang w:val="en-US" w:eastAsia="zh-CN" w:bidi="ar-SA"/>
        </w:rPr>
        <w:t>”</w:t>
      </w:r>
      <w:r>
        <w:rPr>
          <w:rFonts w:hint="default" w:ascii="宋体" w:hAnsi="宋体" w:eastAsia="宋体" w:cs="宋体"/>
          <w:b w:val="0"/>
          <w:bCs/>
          <w:color w:val="auto"/>
          <w:kern w:val="2"/>
          <w:sz w:val="28"/>
          <w:szCs w:val="28"/>
          <w:lang w:val="en-US" w:eastAsia="zh-CN" w:bidi="ar-SA"/>
        </w:rPr>
        <w:t>四位一体考核模式；将师德师风作为首要指标，实行一票否决制；考核指标，</w:t>
      </w:r>
      <w:r>
        <w:rPr>
          <w:rFonts w:hint="eastAsia" w:ascii="宋体" w:hAnsi="宋体" w:eastAsia="宋体" w:cs="宋体"/>
          <w:b w:val="0"/>
          <w:bCs/>
          <w:color w:val="auto"/>
          <w:kern w:val="2"/>
          <w:sz w:val="28"/>
          <w:szCs w:val="28"/>
          <w:lang w:val="en-US" w:eastAsia="zh-CN" w:bidi="ar-SA"/>
        </w:rPr>
        <w:t>涵盖</w:t>
      </w:r>
      <w:r>
        <w:rPr>
          <w:rFonts w:hint="default" w:ascii="宋体" w:hAnsi="宋体" w:eastAsia="宋体" w:cs="宋体"/>
          <w:b w:val="0"/>
          <w:bCs/>
          <w:color w:val="auto"/>
          <w:kern w:val="2"/>
          <w:sz w:val="28"/>
          <w:szCs w:val="28"/>
          <w:lang w:val="en-US" w:eastAsia="zh-CN" w:bidi="ar-SA"/>
        </w:rPr>
        <w:t>科研项目、学术成果、培养质量等</w:t>
      </w:r>
      <w:r>
        <w:rPr>
          <w:rFonts w:hint="eastAsia" w:ascii="宋体" w:hAnsi="宋体" w:eastAsia="宋体" w:cs="宋体"/>
          <w:b w:val="0"/>
          <w:bCs/>
          <w:color w:val="auto"/>
          <w:kern w:val="2"/>
          <w:sz w:val="28"/>
          <w:szCs w:val="28"/>
          <w:lang w:val="en-US" w:eastAsia="zh-CN" w:bidi="ar-SA"/>
        </w:rPr>
        <w:t>方面</w:t>
      </w:r>
      <w:r>
        <w:rPr>
          <w:rFonts w:hint="default" w:ascii="宋体" w:hAnsi="宋体" w:eastAsia="宋体" w:cs="宋体"/>
          <w:b w:val="0"/>
          <w:bCs/>
          <w:color w:val="auto"/>
          <w:kern w:val="2"/>
          <w:sz w:val="28"/>
          <w:szCs w:val="28"/>
          <w:lang w:val="en-US" w:eastAsia="zh-CN" w:bidi="ar-SA"/>
        </w:rPr>
        <w:t>。</w:t>
      </w:r>
      <w:r>
        <w:rPr>
          <w:rFonts w:hint="eastAsia" w:ascii="宋体" w:hAnsi="宋体" w:eastAsia="宋体" w:cs="宋体"/>
          <w:b w:val="0"/>
          <w:bCs/>
          <w:color w:val="auto"/>
          <w:kern w:val="2"/>
          <w:sz w:val="28"/>
          <w:szCs w:val="28"/>
          <w:lang w:val="en-US" w:eastAsia="zh-CN" w:bidi="ar-SA"/>
        </w:rPr>
        <w:t>2023年学位点导师考核全部合格。</w:t>
      </w:r>
      <w:r>
        <w:rPr>
          <w:rFonts w:hint="default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  <w:t>②</w:t>
      </w:r>
      <w:r>
        <w:rPr>
          <w:rFonts w:hint="default" w:ascii="宋体" w:hAnsi="宋体" w:eastAsia="宋体" w:cs="宋体"/>
          <w:b/>
          <w:bCs w:val="0"/>
          <w:color w:val="auto"/>
          <w:kern w:val="2"/>
          <w:sz w:val="28"/>
          <w:szCs w:val="28"/>
          <w:lang w:val="en-US" w:eastAsia="zh-CN" w:bidi="ar-SA"/>
        </w:rPr>
        <w:t>考核结果运用</w:t>
      </w:r>
      <w:r>
        <w:rPr>
          <w:rFonts w:hint="eastAsia" w:ascii="宋体" w:hAnsi="宋体" w:eastAsia="宋体" w:cs="宋体"/>
          <w:b/>
          <w:bCs w:val="0"/>
          <w:color w:val="auto"/>
          <w:kern w:val="2"/>
          <w:sz w:val="28"/>
          <w:szCs w:val="28"/>
          <w:lang w:val="en-US" w:eastAsia="zh-CN" w:bidi="ar-SA"/>
        </w:rPr>
        <w:t>：</w:t>
      </w:r>
      <w:r>
        <w:rPr>
          <w:rFonts w:hint="default" w:ascii="宋体" w:hAnsi="宋体" w:eastAsia="宋体" w:cs="宋体"/>
          <w:b w:val="0"/>
          <w:bCs/>
          <w:color w:val="auto"/>
          <w:kern w:val="2"/>
          <w:sz w:val="28"/>
          <w:szCs w:val="28"/>
          <w:lang w:val="en-US" w:eastAsia="zh-CN" w:bidi="ar-SA"/>
        </w:rPr>
        <w:t>建立</w:t>
      </w:r>
      <w:r>
        <w:rPr>
          <w:rFonts w:hint="eastAsia" w:ascii="宋体" w:hAnsi="宋体" w:eastAsia="宋体" w:cs="宋体"/>
          <w:b w:val="0"/>
          <w:bCs/>
          <w:color w:val="auto"/>
          <w:kern w:val="2"/>
          <w:sz w:val="28"/>
          <w:szCs w:val="28"/>
          <w:lang w:val="en-US" w:eastAsia="zh-CN" w:bidi="ar-SA"/>
        </w:rPr>
        <w:t>“</w:t>
      </w:r>
      <w:r>
        <w:rPr>
          <w:rFonts w:hint="default" w:ascii="宋体" w:hAnsi="宋体" w:eastAsia="宋体" w:cs="宋体"/>
          <w:b w:val="0"/>
          <w:bCs/>
          <w:color w:val="auto"/>
          <w:kern w:val="2"/>
          <w:sz w:val="28"/>
          <w:szCs w:val="28"/>
          <w:lang w:val="en-US" w:eastAsia="zh-CN" w:bidi="ar-SA"/>
        </w:rPr>
        <w:t>预警-整改-退出</w:t>
      </w:r>
      <w:r>
        <w:rPr>
          <w:rFonts w:hint="eastAsia" w:ascii="宋体" w:hAnsi="宋体" w:eastAsia="宋体" w:cs="宋体"/>
          <w:b w:val="0"/>
          <w:bCs/>
          <w:color w:val="auto"/>
          <w:kern w:val="2"/>
          <w:sz w:val="28"/>
          <w:szCs w:val="28"/>
          <w:lang w:val="en-US" w:eastAsia="zh-CN" w:bidi="ar-SA"/>
        </w:rPr>
        <w:t>”</w:t>
      </w:r>
      <w:r>
        <w:rPr>
          <w:rFonts w:hint="default" w:ascii="宋体" w:hAnsi="宋体" w:eastAsia="宋体" w:cs="宋体"/>
          <w:b w:val="0"/>
          <w:bCs/>
          <w:color w:val="auto"/>
          <w:kern w:val="2"/>
          <w:sz w:val="28"/>
          <w:szCs w:val="28"/>
          <w:lang w:val="en-US" w:eastAsia="zh-CN" w:bidi="ar-SA"/>
        </w:rPr>
        <w:t>机制</w:t>
      </w:r>
      <w:r>
        <w:rPr>
          <w:rFonts w:hint="eastAsia" w:ascii="宋体" w:hAnsi="宋体" w:eastAsia="宋体" w:cs="宋体"/>
          <w:b w:val="0"/>
          <w:bCs/>
          <w:color w:val="auto"/>
          <w:kern w:val="2"/>
          <w:sz w:val="28"/>
          <w:szCs w:val="28"/>
          <w:lang w:val="en-US" w:eastAsia="zh-CN" w:bidi="ar-SA"/>
        </w:rPr>
        <w:t>，</w:t>
      </w:r>
      <w:r>
        <w:rPr>
          <w:rFonts w:hint="default" w:ascii="宋体" w:hAnsi="宋体" w:eastAsia="宋体" w:cs="宋体"/>
          <w:b w:val="0"/>
          <w:bCs/>
          <w:color w:val="auto"/>
          <w:kern w:val="2"/>
          <w:sz w:val="28"/>
          <w:szCs w:val="28"/>
          <w:lang w:val="en-US" w:eastAsia="zh-CN" w:bidi="ar-SA"/>
        </w:rPr>
        <w:t>考核不合格者限制招生，连续两次不合格者停止招生，三次不合格者取消资格；取消资格者需重新参加遴选方可恢复招生资格。</w:t>
      </w:r>
    </w:p>
    <w:p w14:paraId="4C050226">
      <w:pPr>
        <w:numPr>
          <w:ilvl w:val="0"/>
          <w:numId w:val="0"/>
        </w:numPr>
        <w:spacing w:line="240" w:lineRule="auto"/>
        <w:ind w:firstLine="562" w:firstLineChars="200"/>
        <w:jc w:val="both"/>
        <w:rPr>
          <w:rFonts w:hint="eastAsia" w:ascii="宋体" w:hAnsi="宋体" w:eastAsia="宋体" w:cs="仿宋"/>
          <w:sz w:val="28"/>
          <w:szCs w:val="28"/>
        </w:rPr>
      </w:pPr>
      <w:r>
        <w:rPr>
          <w:rFonts w:hint="eastAsia" w:ascii="宋体" w:hAnsi="宋体" w:eastAsia="宋体" w:cs="仿宋"/>
          <w:b/>
          <w:bCs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仿宋"/>
          <w:b/>
          <w:bCs/>
          <w:sz w:val="28"/>
          <w:szCs w:val="28"/>
          <w:lang w:val="en-US" w:eastAsia="zh-CN"/>
        </w:rPr>
        <w:t>三</w:t>
      </w:r>
      <w:r>
        <w:rPr>
          <w:rFonts w:hint="eastAsia" w:ascii="宋体" w:hAnsi="宋体" w:eastAsia="宋体" w:cs="仿宋"/>
          <w:b/>
          <w:bCs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仿宋"/>
          <w:b/>
          <w:bCs/>
          <w:sz w:val="28"/>
          <w:szCs w:val="28"/>
        </w:rPr>
        <w:t>培养条件建设</w:t>
      </w:r>
    </w:p>
    <w:p w14:paraId="2C19E42C">
      <w:pPr>
        <w:keepNext w:val="0"/>
        <w:keepLines w:val="0"/>
        <w:widowControl/>
        <w:suppressLineNumbers w:val="0"/>
        <w:spacing w:line="240" w:lineRule="auto"/>
        <w:ind w:firstLine="562" w:firstLineChars="200"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  <w:t>3.1重点专科和科研平台</w:t>
      </w:r>
    </w:p>
    <w:p w14:paraId="11E30BFC">
      <w:pPr>
        <w:keepNext w:val="0"/>
        <w:keepLines w:val="0"/>
        <w:widowControl/>
        <w:suppressLineNumbers w:val="0"/>
        <w:spacing w:line="240" w:lineRule="auto"/>
        <w:ind w:firstLine="560" w:firstLineChars="200"/>
        <w:jc w:val="left"/>
        <w:rPr>
          <w:rFonts w:hint="eastAsia" w:ascii="宋体" w:hAnsi="宋体" w:eastAsia="宋体" w:cs="宋体"/>
          <w:bCs w:val="0"/>
          <w:color w:val="auto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学位点现拥有国家中医药传承创新中心、国家区域中医（专科）诊疗中心、国家中医临床教学培训示范中心、国家中医药国际合作交流基地、国家中医临床研究基地、国家中医住院医师规范化培训示范基地等多个国家级平台</w:t>
      </w: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8"/>
          <w:szCs w:val="28"/>
          <w:lang w:val="en-US" w:eastAsia="zh-CN" w:bidi="ar"/>
        </w:rPr>
        <w:t>。</w:t>
      </w:r>
      <w:r>
        <w:rPr>
          <w:rFonts w:hint="eastAsia" w:ascii="宋体" w:hAnsi="宋体" w:eastAsia="宋体" w:cs="宋体"/>
          <w:color w:val="auto"/>
          <w:kern w:val="0"/>
          <w:sz w:val="28"/>
          <w:szCs w:val="28"/>
          <w:lang w:val="en-US" w:eastAsia="zh-CN" w:bidi="ar"/>
        </w:rPr>
        <w:t>还拥有省部共建协同创新中心1个，国家临床重点专科（中医类）12个、国家中医药管理局重点学科14个、国家中医药管理局重点专科28个、河南省中医重点专科23个、河南省重点学科25个。还有河南省重点实验室5个、河南省国际联合实验室3个、河南省工程研究中心12个、河南省工程技术研究中心4个。</w:t>
      </w:r>
    </w:p>
    <w:p w14:paraId="1919FBED">
      <w:pPr>
        <w:keepNext w:val="0"/>
        <w:keepLines w:val="0"/>
        <w:widowControl/>
        <w:suppressLineNumbers w:val="0"/>
        <w:spacing w:line="240" w:lineRule="auto"/>
        <w:ind w:firstLine="562" w:firstLineChars="200"/>
        <w:jc w:val="left"/>
        <w:rPr>
          <w:rFonts w:hint="eastAsia" w:ascii="宋体" w:hAnsi="宋体" w:eastAsia="宋体" w:cs="宋体"/>
          <w:bCs w:val="0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  <w:t>3.2教学设施情况</w:t>
      </w:r>
    </w:p>
    <w:p w14:paraId="2DBA168A">
      <w:pPr>
        <w:keepNext w:val="0"/>
        <w:keepLines w:val="0"/>
        <w:widowControl/>
        <w:suppressLineNumbers w:val="0"/>
        <w:spacing w:line="240" w:lineRule="auto"/>
        <w:ind w:firstLine="562" w:firstLineChars="200"/>
        <w:jc w:val="left"/>
        <w:rPr>
          <w:rFonts w:hint="eastAsia" w:ascii="宋体" w:hAnsi="宋体" w:eastAsia="宋体" w:cs="仿宋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  <w:t>①在课堂教学领域，</w:t>
      </w:r>
      <w:r>
        <w:rPr>
          <w:rFonts w:hint="eastAsia" w:ascii="宋体" w:hAnsi="宋体" w:eastAsia="宋体" w:cs="宋体"/>
          <w:bCs w:val="0"/>
          <w:color w:val="000000"/>
          <w:kern w:val="0"/>
          <w:sz w:val="28"/>
          <w:szCs w:val="28"/>
          <w:lang w:val="en-US" w:eastAsia="zh-CN" w:bidi="ar"/>
        </w:rPr>
        <w:t>拥有占地1200余平方米的虚拟仿真实验教学空间，并于2021年荣获“河南省本科高等学校智慧教学建设示范校”称号，为学生构建了一个现代化、多元化的学习环境。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  <w:t>②实验教学方面，</w:t>
      </w:r>
      <w:r>
        <w:rPr>
          <w:rFonts w:hint="eastAsia" w:ascii="宋体" w:hAnsi="宋体" w:eastAsia="宋体" w:cs="宋体"/>
          <w:bCs w:val="0"/>
          <w:color w:val="000000"/>
          <w:kern w:val="0"/>
          <w:sz w:val="28"/>
          <w:szCs w:val="28"/>
          <w:lang w:val="en-US" w:eastAsia="zh-CN" w:bidi="ar"/>
        </w:rPr>
        <w:t>学校设有省级重点实验平台—中医学实验教学示范中心，实验室总面积达15601平方米，配备的各类先进大型设备总价值达4.2亿元，为教学科研提供了强有力的硬件支撑。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  <w:t>③临床教学资源方面，</w:t>
      </w:r>
      <w:r>
        <w:rPr>
          <w:rFonts w:hint="eastAsia" w:ascii="宋体" w:hAnsi="宋体" w:eastAsia="宋体" w:cs="宋体"/>
          <w:bCs w:val="0"/>
          <w:color w:val="000000"/>
          <w:kern w:val="0"/>
          <w:sz w:val="28"/>
          <w:szCs w:val="28"/>
          <w:lang w:val="en-US" w:eastAsia="zh-CN" w:bidi="ar"/>
        </w:rPr>
        <w:t>学校依托三所附属医院开展实践教学，开放床位总数达7257张，充分保障了临床教学和实践的需求。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  <w:t>④学术资源建设方面</w:t>
      </w:r>
      <w:r>
        <w:rPr>
          <w:rFonts w:hint="eastAsia" w:ascii="宋体" w:hAnsi="宋体" w:eastAsia="宋体" w:cs="宋体"/>
          <w:bCs w:val="0"/>
          <w:color w:val="000000"/>
          <w:kern w:val="0"/>
          <w:sz w:val="28"/>
          <w:szCs w:val="28"/>
          <w:lang w:val="en-US" w:eastAsia="zh-CN" w:bidi="ar"/>
        </w:rPr>
        <w:t>，学校图书馆建筑面积达3.04万平方米，收藏约212万册纸质图书、162.6万册电子图书，并拥有81种中外文数据库，收录3847种中外文期刊，为师生提供了优质的学术资源保障。</w:t>
      </w:r>
    </w:p>
    <w:p w14:paraId="4A49045C">
      <w:pPr>
        <w:numPr>
          <w:ilvl w:val="0"/>
          <w:numId w:val="0"/>
        </w:numPr>
        <w:spacing w:line="240" w:lineRule="auto"/>
        <w:ind w:firstLine="562" w:firstLineChars="200"/>
        <w:jc w:val="both"/>
        <w:rPr>
          <w:rFonts w:hint="eastAsia" w:ascii="宋体" w:hAnsi="宋体" w:eastAsia="宋体" w:cs="仿宋"/>
          <w:sz w:val="28"/>
          <w:szCs w:val="28"/>
        </w:rPr>
      </w:pPr>
      <w:r>
        <w:rPr>
          <w:rFonts w:hint="eastAsia" w:ascii="宋体" w:hAnsi="宋体" w:eastAsia="宋体" w:cs="仿宋"/>
          <w:b/>
          <w:bCs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仿宋"/>
          <w:b/>
          <w:bCs/>
          <w:sz w:val="28"/>
          <w:szCs w:val="28"/>
          <w:lang w:val="en-US" w:eastAsia="zh-CN"/>
        </w:rPr>
        <w:t>四</w:t>
      </w:r>
      <w:r>
        <w:rPr>
          <w:rFonts w:hint="eastAsia" w:ascii="宋体" w:hAnsi="宋体" w:eastAsia="宋体" w:cs="仿宋"/>
          <w:b/>
          <w:bCs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仿宋"/>
          <w:b/>
          <w:bCs/>
          <w:sz w:val="28"/>
          <w:szCs w:val="28"/>
        </w:rPr>
        <w:t>科学研究工作</w:t>
      </w:r>
    </w:p>
    <w:p w14:paraId="747A1180">
      <w:pPr>
        <w:numPr>
          <w:ilvl w:val="0"/>
          <w:numId w:val="0"/>
        </w:numPr>
        <w:spacing w:line="240" w:lineRule="auto"/>
        <w:ind w:firstLine="560" w:firstLineChars="200"/>
        <w:jc w:val="both"/>
        <w:rPr>
          <w:rFonts w:hint="eastAsia" w:ascii="宋体" w:hAnsi="宋体" w:eastAsia="宋体" w:cs="仿宋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学位点在2023年建设期间，共获批纵向科研课题458项（其中国家级项目26项，包含5项国家重大专项-科技创新2030），总经费1.44亿元；横向课题总经费106.38万元；获各类科研奖励57项；以第一作者或通讯作者发表中文核心、SCI论文396篇；主编、副主编著作60部；制定行业标准、指南、专家共识30项；各类型专利、软件著作权83项，转化总经费70万元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。</w:t>
      </w:r>
    </w:p>
    <w:p w14:paraId="1350E67D">
      <w:pPr>
        <w:numPr>
          <w:ilvl w:val="0"/>
          <w:numId w:val="0"/>
        </w:numPr>
        <w:spacing w:line="240" w:lineRule="auto"/>
        <w:ind w:firstLine="562" w:firstLineChars="200"/>
        <w:jc w:val="both"/>
        <w:rPr>
          <w:rFonts w:hint="eastAsia" w:ascii="宋体" w:hAnsi="宋体" w:eastAsia="宋体" w:cs="仿宋"/>
          <w:b/>
          <w:bCs/>
          <w:sz w:val="28"/>
          <w:szCs w:val="28"/>
        </w:rPr>
      </w:pPr>
      <w:r>
        <w:rPr>
          <w:rFonts w:hint="eastAsia" w:ascii="宋体" w:hAnsi="宋体" w:eastAsia="宋体" w:cs="仿宋"/>
          <w:b/>
          <w:bCs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仿宋"/>
          <w:b/>
          <w:bCs/>
          <w:sz w:val="28"/>
          <w:szCs w:val="28"/>
          <w:lang w:val="en-US" w:eastAsia="zh-CN"/>
        </w:rPr>
        <w:t>五</w:t>
      </w:r>
      <w:r>
        <w:rPr>
          <w:rFonts w:hint="eastAsia" w:ascii="宋体" w:hAnsi="宋体" w:eastAsia="宋体" w:cs="仿宋"/>
          <w:b/>
          <w:bCs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仿宋"/>
          <w:b/>
          <w:bCs/>
          <w:sz w:val="28"/>
          <w:szCs w:val="28"/>
        </w:rPr>
        <w:t>招生与培养</w:t>
      </w:r>
    </w:p>
    <w:p w14:paraId="098F804C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2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2"/>
          <w:sz w:val="28"/>
          <w:szCs w:val="28"/>
          <w:lang w:val="en-US" w:eastAsia="zh-CN" w:bidi="ar-SA"/>
        </w:rPr>
        <w:t>5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  <w:t>.1招生情况</w:t>
      </w:r>
    </w:p>
    <w:p w14:paraId="4AE305C3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left"/>
        <w:textAlignment w:val="auto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bCs w:val="0"/>
          <w:color w:val="auto"/>
          <w:kern w:val="0"/>
          <w:sz w:val="28"/>
          <w:szCs w:val="28"/>
          <w:lang w:val="en-US" w:eastAsia="zh-CN" w:bidi="ar"/>
        </w:rPr>
        <w:t>2023年学位点授予医学硕士学位77人；不断优化生源结构，扩大招生来源，吸引校内外优秀研究生共52人报名，最终录取11人，录取率为20.37%。</w:t>
      </w:r>
    </w:p>
    <w:p w14:paraId="1D92B593">
      <w:pPr>
        <w:keepNext w:val="0"/>
        <w:keepLines w:val="0"/>
        <w:widowControl/>
        <w:suppressLineNumbers w:val="0"/>
        <w:spacing w:line="240" w:lineRule="auto"/>
        <w:ind w:firstLine="562" w:firstLineChars="200"/>
        <w:jc w:val="left"/>
        <w:rPr>
          <w:rFonts w:hint="eastAsia" w:ascii="宋体" w:hAnsi="宋体" w:eastAsia="宋体" w:cs="宋体"/>
          <w:bCs w:val="0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sz w:val="28"/>
          <w:szCs w:val="28"/>
          <w:lang w:val="en-US" w:eastAsia="zh-CN"/>
        </w:rPr>
        <w:t>生源质量控制措施：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  <w:t>①构建多维度人才选拔体系。</w:t>
      </w:r>
      <w:r>
        <w:rPr>
          <w:rFonts w:hint="eastAsia" w:ascii="宋体" w:hAnsi="宋体" w:eastAsia="宋体" w:cs="宋体"/>
          <w:bCs w:val="0"/>
          <w:color w:val="000000"/>
          <w:kern w:val="0"/>
          <w:sz w:val="28"/>
          <w:szCs w:val="28"/>
          <w:lang w:val="en-US" w:eastAsia="zh-CN" w:bidi="ar"/>
        </w:rPr>
        <w:t>在统招基础上，深化“申请-考核”制招生改革，完善推免生激励机制，特别设立“优秀直博生”专项计划，吸引具有突出科研潜质的推免硕士生攻读博士学位，形成了统招、推免、专项计划相结合的立体化选拔格局。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  <w:t>②打造多渠道招生宣传矩阵。</w:t>
      </w:r>
      <w:r>
        <w:rPr>
          <w:rFonts w:hint="eastAsia" w:ascii="宋体" w:hAnsi="宋体" w:eastAsia="宋体" w:cs="宋体"/>
          <w:bCs w:val="0"/>
          <w:color w:val="000000"/>
          <w:kern w:val="0"/>
          <w:sz w:val="28"/>
          <w:szCs w:val="28"/>
          <w:lang w:val="en-US" w:eastAsia="zh-CN" w:bidi="ar"/>
        </w:rPr>
        <w:t>线上平台全域发布招生信息，线下宣讲活动强化学校推介，与目标院校建立战略合作关系，定向推送招生资讯，构建起“线上+线下”协同、“广泛覆盖+精准投放”结合的招生宣传网络。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  <w:t>③实施全方面考核优化工程。</w:t>
      </w:r>
      <w:r>
        <w:rPr>
          <w:rFonts w:hint="eastAsia" w:ascii="宋体" w:hAnsi="宋体" w:eastAsia="宋体" w:cs="宋体"/>
          <w:bCs w:val="0"/>
          <w:color w:val="000000"/>
          <w:kern w:val="0"/>
          <w:sz w:val="28"/>
          <w:szCs w:val="28"/>
          <w:lang w:val="en-US" w:eastAsia="zh-CN" w:bidi="ar"/>
        </w:rPr>
        <w:t>考核内容上强化科研素养考核的同时注重思想道德品质、心理素质等综合素质评价；在考核方式上笔试、面试、实践操作等多形式融合。构建科学全面、多维立体的考生能力评估体系。</w:t>
      </w:r>
    </w:p>
    <w:p w14:paraId="5A61B48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textAlignment w:val="auto"/>
        <w:rPr>
          <w:rFonts w:hint="eastAsia" w:ascii="宋体" w:hAnsi="宋体" w:eastAsia="宋体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仿宋"/>
          <w:b/>
          <w:bCs/>
          <w:sz w:val="28"/>
          <w:szCs w:val="28"/>
          <w:lang w:val="en-US" w:eastAsia="zh-CN"/>
        </w:rPr>
        <w:t>5.2</w:t>
      </w:r>
      <w:r>
        <w:rPr>
          <w:rFonts w:hint="eastAsia" w:ascii="宋体" w:hAnsi="宋体" w:eastAsia="宋体"/>
          <w:b/>
          <w:bCs/>
          <w:sz w:val="28"/>
          <w:szCs w:val="28"/>
          <w:highlight w:val="none"/>
          <w:lang w:val="en-US" w:eastAsia="zh-CN"/>
        </w:rPr>
        <w:t>人才培养</w:t>
      </w:r>
    </w:p>
    <w:p w14:paraId="7365E9D3">
      <w:pPr>
        <w:spacing w:line="240" w:lineRule="auto"/>
        <w:ind w:firstLine="562" w:firstLineChars="200"/>
        <w:rPr>
          <w:rFonts w:hint="eastAsia" w:ascii="宋体" w:hAnsi="宋体" w:eastAsia="宋体" w:cs="宋体"/>
          <w:b/>
          <w:bCs/>
          <w:color w:val="000000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000000"/>
          <w:kern w:val="2"/>
          <w:sz w:val="28"/>
          <w:szCs w:val="28"/>
          <w:lang w:val="en-US" w:eastAsia="zh-CN" w:bidi="ar-SA"/>
        </w:rPr>
        <w:t>5.</w:t>
      </w:r>
      <w:r>
        <w:rPr>
          <w:rFonts w:hint="eastAsia" w:ascii="宋体" w:hAnsi="宋体" w:eastAsia="宋体" w:cs="宋体"/>
          <w:b/>
          <w:bCs/>
          <w:color w:val="000000"/>
          <w:sz w:val="28"/>
          <w:szCs w:val="28"/>
          <w:lang w:val="en-US" w:eastAsia="zh-CN"/>
        </w:rPr>
        <w:t>2.1</w:t>
      </w:r>
      <w:r>
        <w:rPr>
          <w:rFonts w:hint="eastAsia" w:ascii="宋体" w:hAnsi="宋体" w:eastAsia="宋体" w:cs="宋体"/>
          <w:b/>
          <w:bCs/>
          <w:color w:val="000000"/>
          <w:sz w:val="28"/>
          <w:szCs w:val="28"/>
        </w:rPr>
        <w:t>课程教学</w:t>
      </w:r>
    </w:p>
    <w:p w14:paraId="455C82FE">
      <w:pPr>
        <w:keepNext w:val="0"/>
        <w:keepLines w:val="0"/>
        <w:widowControl/>
        <w:suppressLineNumbers w:val="0"/>
        <w:spacing w:line="240" w:lineRule="auto"/>
        <w:ind w:firstLine="562" w:firstLineChars="200"/>
        <w:jc w:val="left"/>
        <w:rPr>
          <w:rFonts w:hint="eastAsia" w:ascii="宋体" w:hAnsi="宋体" w:eastAsia="宋体" w:cs="宋体"/>
          <w:b/>
          <w:bCs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color w:val="auto"/>
          <w:kern w:val="2"/>
          <w:sz w:val="28"/>
          <w:szCs w:val="28"/>
          <w:lang w:val="en-US" w:eastAsia="zh-CN" w:bidi="ar-SA"/>
        </w:rPr>
        <w:t>（1）</w:t>
      </w:r>
      <w:r>
        <w:rPr>
          <w:rFonts w:hint="default" w:ascii="宋体" w:hAnsi="宋体" w:eastAsia="宋体" w:cs="宋体"/>
          <w:b/>
          <w:bCs/>
          <w:color w:val="auto"/>
          <w:kern w:val="2"/>
          <w:sz w:val="28"/>
          <w:szCs w:val="28"/>
          <w:lang w:val="en-US" w:eastAsia="zh-CN" w:bidi="ar-SA"/>
        </w:rPr>
        <w:t>课程体系构建与教学管理</w:t>
      </w:r>
    </w:p>
    <w:p w14:paraId="576C20D1">
      <w:pPr>
        <w:keepNext w:val="0"/>
        <w:keepLines w:val="0"/>
        <w:widowControl/>
        <w:suppressLineNumbers w:val="0"/>
        <w:spacing w:line="240" w:lineRule="auto"/>
        <w:ind w:firstLine="562" w:firstLineChars="200"/>
        <w:jc w:val="left"/>
        <w:rPr>
          <w:rFonts w:hint="eastAsia" w:ascii="宋体" w:hAnsi="宋体" w:eastAsia="宋体" w:cs="宋体"/>
          <w:b w:val="0"/>
          <w:bCs w:val="0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default" w:ascii="宋体" w:hAnsi="宋体" w:eastAsia="宋体" w:cs="宋体"/>
          <w:b/>
          <w:bCs/>
          <w:color w:val="auto"/>
          <w:kern w:val="0"/>
          <w:sz w:val="28"/>
          <w:szCs w:val="28"/>
          <w:lang w:val="en-US" w:eastAsia="zh-CN" w:bidi="ar"/>
        </w:rPr>
        <w:t>①</w:t>
      </w:r>
      <w:r>
        <w:rPr>
          <w:rFonts w:hint="eastAsia" w:ascii="宋体" w:hAnsi="宋体" w:eastAsia="宋体" w:cs="宋体"/>
          <w:b/>
          <w:bCs/>
          <w:color w:val="auto"/>
          <w:kern w:val="2"/>
          <w:sz w:val="28"/>
          <w:szCs w:val="28"/>
          <w:lang w:val="en-US" w:eastAsia="zh-CN" w:bidi="ar-SA"/>
        </w:rPr>
        <w:t>课程体系架构科学合理。</w:t>
      </w:r>
      <w:r>
        <w:rPr>
          <w:rFonts w:hint="eastAsia" w:ascii="宋体" w:hAnsi="宋体" w:eastAsia="宋体" w:cs="宋体"/>
          <w:b w:val="0"/>
          <w:bCs w:val="0"/>
          <w:color w:val="auto"/>
          <w:kern w:val="2"/>
          <w:sz w:val="28"/>
          <w:szCs w:val="28"/>
          <w:lang w:val="en-US" w:eastAsia="zh-CN" w:bidi="ar-SA"/>
        </w:rPr>
        <w:t>课程结构构建了层次分明、衔接有序的三维课程体系。其中公共课程开设《高级医用英语》《中医药科技创新思路与方法》等特色课程，专业基础课程设置《名家学术与临床》《循证医学概论》等核心课程，专业课程则包含《中医内科学临床研究》《中医儿科学临床研究》等主干课程。同时配套丰富的选修课程资源，形成了“公共课程+专业基础+专业核心+选修拓展”的立体化课程结构。</w:t>
      </w:r>
      <w:r>
        <w:rPr>
          <w:rFonts w:hint="default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  <w:t>②</w:t>
      </w:r>
      <w:r>
        <w:rPr>
          <w:rFonts w:hint="eastAsia" w:ascii="宋体" w:hAnsi="宋体" w:eastAsia="宋体" w:cs="宋体"/>
          <w:b/>
          <w:bCs/>
          <w:color w:val="auto"/>
          <w:kern w:val="2"/>
          <w:sz w:val="28"/>
          <w:szCs w:val="28"/>
          <w:lang w:val="en-US" w:eastAsia="zh-CN" w:bidi="ar-SA"/>
        </w:rPr>
        <w:t>教学实施机制创新完善。</w:t>
      </w:r>
      <w:r>
        <w:rPr>
          <w:rFonts w:hint="eastAsia" w:ascii="宋体" w:hAnsi="宋体" w:eastAsia="宋体" w:cs="宋体"/>
          <w:b w:val="0"/>
          <w:bCs w:val="0"/>
          <w:color w:val="auto"/>
          <w:kern w:val="2"/>
          <w:sz w:val="28"/>
          <w:szCs w:val="28"/>
          <w:lang w:val="en-US" w:eastAsia="zh-CN" w:bidi="ar-SA"/>
        </w:rPr>
        <w:t>各门课程均组建跨学科教学团队，共同研制课程大纲、教学计划等核心教学内容，保障了教学内容的前沿性和时效性。</w:t>
      </w:r>
    </w:p>
    <w:p w14:paraId="1FDDC0B1">
      <w:pPr>
        <w:keepNext w:val="0"/>
        <w:keepLines w:val="0"/>
        <w:widowControl/>
        <w:suppressLineNumbers w:val="0"/>
        <w:spacing w:line="240" w:lineRule="auto"/>
        <w:ind w:firstLine="562" w:firstLineChars="200"/>
        <w:jc w:val="left"/>
        <w:rPr>
          <w:rFonts w:hint="eastAsia" w:ascii="宋体" w:hAnsi="宋体" w:eastAsia="宋体" w:cs="宋体"/>
          <w:b/>
          <w:bCs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color w:val="auto"/>
          <w:kern w:val="2"/>
          <w:sz w:val="28"/>
          <w:szCs w:val="28"/>
          <w:lang w:val="en-US" w:eastAsia="zh-CN" w:bidi="ar-SA"/>
        </w:rPr>
        <w:t>（2）</w:t>
      </w:r>
      <w:r>
        <w:rPr>
          <w:rFonts w:hint="default" w:ascii="宋体" w:hAnsi="宋体" w:eastAsia="宋体" w:cs="宋体"/>
          <w:b/>
          <w:bCs/>
          <w:color w:val="auto"/>
          <w:kern w:val="2"/>
          <w:sz w:val="28"/>
          <w:szCs w:val="28"/>
          <w:lang w:val="en-US" w:eastAsia="zh-CN" w:bidi="ar-SA"/>
        </w:rPr>
        <w:t>教学质量保障体系建设与实施</w:t>
      </w:r>
    </w:p>
    <w:p w14:paraId="6022D3D0">
      <w:pPr>
        <w:keepNext w:val="0"/>
        <w:keepLines w:val="0"/>
        <w:widowControl/>
        <w:suppressLineNumbers w:val="0"/>
        <w:spacing w:line="240" w:lineRule="auto"/>
        <w:ind w:firstLine="602" w:firstLineChars="200"/>
        <w:jc w:val="left"/>
        <w:rPr>
          <w:rFonts w:hint="eastAsia" w:ascii="宋体" w:hAnsi="宋体" w:eastAsia="宋体" w:cs="宋体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/>
          <w:bCs/>
          <w:color w:val="auto"/>
          <w:kern w:val="0"/>
          <w:sz w:val="30"/>
          <w:szCs w:val="30"/>
          <w:lang w:val="en-US" w:eastAsia="zh-CN" w:bidi="ar"/>
        </w:rPr>
        <w:t>①</w:t>
      </w:r>
      <w:r>
        <w:rPr>
          <w:rFonts w:hint="eastAsia" w:ascii="宋体" w:hAnsi="宋体" w:eastAsia="宋体" w:cs="宋体"/>
          <w:b/>
          <w:bCs/>
          <w:color w:val="000000"/>
          <w:sz w:val="30"/>
          <w:szCs w:val="30"/>
          <w:lang w:val="en-US" w:eastAsia="zh-CN"/>
        </w:rPr>
        <w:t>教学内容革新机制。</w:t>
      </w:r>
      <w:r>
        <w:rPr>
          <w:rFonts w:hint="eastAsia" w:ascii="宋体" w:hAnsi="宋体" w:eastAsia="宋体" w:cs="宋体"/>
          <w:b w:val="0"/>
          <w:bCs w:val="0"/>
          <w:color w:val="000000"/>
          <w:sz w:val="30"/>
          <w:szCs w:val="30"/>
          <w:lang w:val="en-US" w:eastAsia="zh-CN"/>
        </w:rPr>
        <w:t>打造“前沿引领、创新驱动”的教学内容动态更新体系，将学科前沿动态有机融入课程顶层设计、将研究热点问题深度融入课堂教学过程、将最新科研成果转化为教学实践案例，实现知识体系的迭代升级。</w:t>
      </w:r>
      <w:r>
        <w:rPr>
          <w:rFonts w:hint="default" w:ascii="宋体" w:hAnsi="宋体" w:eastAsia="宋体" w:cs="宋体"/>
          <w:b/>
          <w:bCs/>
          <w:color w:val="auto"/>
          <w:kern w:val="0"/>
          <w:sz w:val="30"/>
          <w:szCs w:val="30"/>
          <w:lang w:val="en-US" w:eastAsia="zh-CN" w:bidi="ar"/>
        </w:rPr>
        <w:t>②</w:t>
      </w:r>
      <w:r>
        <w:rPr>
          <w:rFonts w:hint="eastAsia" w:ascii="宋体" w:hAnsi="宋体" w:eastAsia="宋体" w:cs="宋体"/>
          <w:b/>
          <w:bCs/>
          <w:color w:val="000000"/>
          <w:sz w:val="30"/>
          <w:szCs w:val="30"/>
          <w:lang w:val="en-US" w:eastAsia="zh-CN"/>
        </w:rPr>
        <w:t>师资队伍建设工程。</w:t>
      </w:r>
      <w:r>
        <w:rPr>
          <w:rFonts w:hint="eastAsia" w:ascii="宋体" w:hAnsi="宋体" w:eastAsia="宋体" w:cs="宋体"/>
          <w:b w:val="0"/>
          <w:bCs w:val="0"/>
          <w:color w:val="000000"/>
          <w:sz w:val="30"/>
          <w:szCs w:val="30"/>
          <w:lang w:val="en-US" w:eastAsia="zh-CN"/>
        </w:rPr>
        <w:t>实施“名师引领、梯队培养”的师资发展战略，聘请国医大师、全国名中医、岐黄学者参与课程授课，发挥学术领军作用；建立青年教师导师制，通过传帮带促进快速成长。确保了正高级职称教师授课比例稳定在90%以上。</w:t>
      </w:r>
      <w:r>
        <w:rPr>
          <w:rFonts w:hint="default" w:ascii="宋体" w:hAnsi="宋体" w:eastAsia="宋体" w:cs="宋体"/>
          <w:b/>
          <w:bCs/>
          <w:color w:val="000000"/>
          <w:kern w:val="0"/>
          <w:sz w:val="30"/>
          <w:szCs w:val="30"/>
          <w:lang w:val="en-US" w:eastAsia="zh-CN" w:bidi="ar"/>
        </w:rPr>
        <w:t>③</w:t>
      </w:r>
      <w:r>
        <w:rPr>
          <w:rFonts w:hint="eastAsia" w:ascii="宋体" w:hAnsi="宋体" w:eastAsia="宋体" w:cs="宋体"/>
          <w:b/>
          <w:bCs/>
          <w:color w:val="000000"/>
          <w:sz w:val="30"/>
          <w:szCs w:val="30"/>
          <w:lang w:val="en-US" w:eastAsia="zh-CN"/>
        </w:rPr>
        <w:t>质量评价创新体系。</w:t>
      </w:r>
      <w:r>
        <w:rPr>
          <w:rFonts w:hint="eastAsia" w:ascii="宋体" w:hAnsi="宋体" w:eastAsia="宋体" w:cs="宋体"/>
          <w:b w:val="0"/>
          <w:bCs w:val="0"/>
          <w:color w:val="000000"/>
          <w:sz w:val="30"/>
          <w:szCs w:val="30"/>
          <w:lang w:val="en-US" w:eastAsia="zh-CN"/>
        </w:rPr>
        <w:t>构建“多元协同、动态优化”的教学质量保障机制。整合校外行业专家、校级教学督导、院系同行教师、学生群体四方评价主体，通过随堂听课、教学检查、问卷调查等多维度评价方式，实现教学全过程质量监控；</w:t>
      </w:r>
      <w:r>
        <w:rPr>
          <w:rFonts w:hint="eastAsia" w:ascii="宋体" w:hAnsi="宋体" w:eastAsia="宋体" w:cs="宋体"/>
          <w:color w:val="auto"/>
          <w:kern w:val="2"/>
          <w:sz w:val="30"/>
          <w:szCs w:val="30"/>
          <w:lang w:val="en-US" w:eastAsia="zh-CN" w:bidi="ar-SA"/>
        </w:rPr>
        <w:t>并将评教结果纳入导师考核</w:t>
      </w:r>
      <w:r>
        <w:rPr>
          <w:rFonts w:hint="eastAsia" w:ascii="宋体" w:hAnsi="宋体" w:eastAsia="宋体" w:cs="宋体"/>
          <w:b w:val="0"/>
          <w:bCs w:val="0"/>
          <w:color w:val="000000"/>
          <w:sz w:val="30"/>
          <w:szCs w:val="30"/>
          <w:lang w:val="en-US" w:eastAsia="zh-CN"/>
        </w:rPr>
        <w:t>，持续推动教学质量的内涵式发展。</w:t>
      </w:r>
    </w:p>
    <w:p w14:paraId="4737EFBA">
      <w:pPr>
        <w:numPr>
          <w:ilvl w:val="0"/>
          <w:numId w:val="0"/>
        </w:numPr>
        <w:spacing w:line="240" w:lineRule="auto"/>
        <w:ind w:firstLine="562" w:firstLineChars="200"/>
        <w:rPr>
          <w:rFonts w:hint="default" w:ascii="宋体" w:hAnsi="宋体" w:eastAsia="宋体" w:cs="宋体"/>
          <w:b/>
          <w:bCs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color w:val="auto"/>
          <w:kern w:val="2"/>
          <w:sz w:val="28"/>
          <w:szCs w:val="28"/>
          <w:lang w:val="en-US" w:eastAsia="zh-CN" w:bidi="ar-SA"/>
        </w:rPr>
        <w:t>（3）</w:t>
      </w:r>
      <w:r>
        <w:rPr>
          <w:rFonts w:hint="default" w:ascii="宋体" w:hAnsi="宋体" w:eastAsia="宋体" w:cs="宋体"/>
          <w:b/>
          <w:bCs/>
          <w:color w:val="auto"/>
          <w:kern w:val="2"/>
          <w:sz w:val="28"/>
          <w:szCs w:val="28"/>
          <w:lang w:val="en-US" w:eastAsia="zh-CN" w:bidi="ar-SA"/>
        </w:rPr>
        <w:t>教学改革与创新成果</w:t>
      </w:r>
    </w:p>
    <w:p w14:paraId="7E132229">
      <w:pPr>
        <w:numPr>
          <w:ilvl w:val="0"/>
          <w:numId w:val="0"/>
        </w:numPr>
        <w:spacing w:line="240" w:lineRule="auto"/>
        <w:ind w:firstLine="560" w:firstLineChars="200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00"/>
          <w:sz w:val="28"/>
          <w:szCs w:val="28"/>
          <w:lang w:val="en-US" w:eastAsia="zh-CN"/>
        </w:rPr>
        <w:t>2023年</w:t>
      </w:r>
      <w:r>
        <w:rPr>
          <w:rFonts w:hint="default" w:ascii="宋体" w:hAnsi="宋体" w:eastAsia="宋体" w:cs="宋体"/>
          <w:b w:val="0"/>
          <w:bCs w:val="0"/>
          <w:color w:val="000000"/>
          <w:sz w:val="28"/>
          <w:szCs w:val="28"/>
          <w:lang w:val="en-US" w:eastAsia="zh-CN"/>
        </w:rPr>
        <w:t>以专项课题为引领，深入推进研究生课程教学改革，获批省级研究生教育改革与质量提升工程项目</w:t>
      </w:r>
      <w:r>
        <w:rPr>
          <w:rFonts w:hint="eastAsia" w:ascii="宋体" w:hAnsi="宋体" w:eastAsia="宋体" w:cs="宋体"/>
          <w:b w:val="0"/>
          <w:bCs w:val="0"/>
          <w:color w:val="000000"/>
          <w:sz w:val="28"/>
          <w:szCs w:val="28"/>
          <w:lang w:val="en-US" w:eastAsia="zh-CN"/>
        </w:rPr>
        <w:t>6</w:t>
      </w:r>
      <w:r>
        <w:rPr>
          <w:rFonts w:hint="default" w:ascii="宋体" w:hAnsi="宋体" w:eastAsia="宋体" w:cs="宋体"/>
          <w:b w:val="0"/>
          <w:bCs w:val="0"/>
          <w:color w:val="000000"/>
          <w:sz w:val="28"/>
          <w:szCs w:val="28"/>
          <w:lang w:val="en-US" w:eastAsia="zh-CN"/>
        </w:rPr>
        <w:t>项</w:t>
      </w:r>
      <w:r>
        <w:rPr>
          <w:rFonts w:hint="eastAsia" w:ascii="宋体" w:hAnsi="宋体" w:eastAsia="宋体" w:cs="宋体"/>
          <w:b w:val="0"/>
          <w:bCs w:val="0"/>
          <w:color w:val="000000"/>
          <w:sz w:val="28"/>
          <w:szCs w:val="28"/>
          <w:lang w:val="en-US" w:eastAsia="zh-CN"/>
        </w:rPr>
        <w:t>、</w:t>
      </w:r>
      <w:r>
        <w:rPr>
          <w:rFonts w:hint="default" w:ascii="宋体" w:hAnsi="宋体" w:eastAsia="宋体" w:cs="宋体"/>
          <w:b w:val="0"/>
          <w:bCs w:val="0"/>
          <w:color w:val="000000"/>
          <w:sz w:val="28"/>
          <w:szCs w:val="28"/>
          <w:lang w:val="en-US" w:eastAsia="zh-CN"/>
        </w:rPr>
        <w:t>资助经费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>23.5</w:t>
      </w:r>
      <w:r>
        <w:rPr>
          <w:rFonts w:hint="default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>万</w:t>
      </w:r>
      <w:r>
        <w:rPr>
          <w:rFonts w:hint="default" w:ascii="宋体" w:hAnsi="宋体" w:eastAsia="宋体" w:cs="宋体"/>
          <w:b w:val="0"/>
          <w:bCs w:val="0"/>
          <w:color w:val="000000"/>
          <w:sz w:val="28"/>
          <w:szCs w:val="28"/>
          <w:lang w:val="en-US" w:eastAsia="zh-CN"/>
        </w:rPr>
        <w:t>元</w:t>
      </w:r>
      <w:r>
        <w:rPr>
          <w:rFonts w:hint="eastAsia" w:ascii="宋体" w:hAnsi="宋体" w:eastAsia="宋体" w:cs="宋体"/>
          <w:b w:val="0"/>
          <w:bCs w:val="0"/>
          <w:color w:val="000000"/>
          <w:sz w:val="28"/>
          <w:szCs w:val="28"/>
          <w:lang w:val="en-US" w:eastAsia="zh-CN"/>
        </w:rPr>
        <w:t>；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>省级</w:t>
      </w:r>
      <w:r>
        <w:rPr>
          <w:rFonts w:hint="eastAsia" w:ascii="宋体" w:hAnsi="宋体" w:eastAsia="宋体" w:cs="宋体"/>
          <w:b w:val="0"/>
          <w:bCs w:val="0"/>
          <w:color w:val="auto"/>
          <w:kern w:val="2"/>
          <w:sz w:val="28"/>
          <w:szCs w:val="28"/>
          <w:lang w:val="en-US" w:eastAsia="zh-CN" w:bidi="ar-SA"/>
        </w:rPr>
        <w:t>研究生教育教学改革研究与实践项目9项，获批经费20万元；</w:t>
      </w:r>
      <w:r>
        <w:rPr>
          <w:rFonts w:hint="eastAsia" w:ascii="宋体" w:hAnsi="宋体" w:eastAsia="宋体" w:cs="宋体"/>
          <w:b w:val="0"/>
          <w:bCs w:val="0"/>
          <w:color w:val="000000"/>
          <w:sz w:val="28"/>
          <w:szCs w:val="28"/>
          <w:lang w:val="en-US" w:eastAsia="zh-CN"/>
        </w:rPr>
        <w:t>立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>项校级</w:t>
      </w:r>
      <w:r>
        <w:rPr>
          <w:rFonts w:hint="eastAsia" w:ascii="宋体" w:hAnsi="宋体" w:eastAsia="宋体" w:cs="宋体"/>
          <w:b w:val="0"/>
          <w:bCs w:val="0"/>
          <w:color w:val="auto"/>
          <w:kern w:val="2"/>
          <w:sz w:val="28"/>
          <w:szCs w:val="28"/>
          <w:lang w:val="en-US" w:eastAsia="zh-CN" w:bidi="ar-SA"/>
        </w:rPr>
        <w:t>研究生教育改革与质量提升工程项目19项，投入经费11万元；立项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>校级</w:t>
      </w:r>
      <w:r>
        <w:rPr>
          <w:rFonts w:hint="eastAsia" w:ascii="宋体" w:hAnsi="宋体" w:eastAsia="宋体" w:cs="宋体"/>
          <w:b w:val="0"/>
          <w:bCs w:val="0"/>
          <w:color w:val="auto"/>
          <w:kern w:val="2"/>
          <w:sz w:val="28"/>
          <w:szCs w:val="28"/>
          <w:lang w:val="en-US" w:eastAsia="zh-CN" w:bidi="ar-SA"/>
        </w:rPr>
        <w:t>研究生教育教学改革研究与实践项目17项，投入经费12万元</w:t>
      </w:r>
      <w:r>
        <w:rPr>
          <w:rFonts w:hint="eastAsia" w:ascii="宋体" w:hAnsi="宋体" w:eastAsia="宋体" w:cs="宋体"/>
          <w:b w:val="0"/>
          <w:bCs w:val="0"/>
          <w:color w:val="000000"/>
          <w:sz w:val="28"/>
          <w:szCs w:val="28"/>
          <w:lang w:val="en-US" w:eastAsia="zh-CN"/>
        </w:rPr>
        <w:t>。主编规划教材《中西医结合儿科学》、《方剂学》。</w:t>
      </w:r>
    </w:p>
    <w:p w14:paraId="1E628420">
      <w:pPr>
        <w:keepNext w:val="0"/>
        <w:keepLines w:val="0"/>
        <w:widowControl/>
        <w:suppressLineNumbers w:val="0"/>
        <w:spacing w:line="240" w:lineRule="auto"/>
        <w:ind w:firstLine="562" w:firstLineChars="200"/>
        <w:jc w:val="left"/>
        <w:rPr>
          <w:rFonts w:hint="eastAsia" w:ascii="宋体" w:hAnsi="宋体" w:eastAsia="宋体" w:cs="宋体"/>
          <w:color w:val="auto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auto"/>
          <w:kern w:val="2"/>
          <w:sz w:val="28"/>
          <w:szCs w:val="28"/>
          <w:lang w:val="en-US" w:eastAsia="zh-CN" w:bidi="ar-SA"/>
        </w:rPr>
        <w:t>5.2.2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8"/>
          <w:lang w:val="en-US" w:eastAsia="zh-CN" w:bidi="ar"/>
        </w:rPr>
        <w:t>奖助体系</w:t>
      </w:r>
      <w:r>
        <w:rPr>
          <w:rFonts w:hint="eastAsia" w:ascii="宋体" w:hAnsi="宋体" w:eastAsia="宋体" w:cs="宋体"/>
          <w:color w:val="auto"/>
          <w:kern w:val="0"/>
          <w:sz w:val="28"/>
          <w:szCs w:val="28"/>
          <w:lang w:val="en-US" w:eastAsia="zh-CN" w:bidi="ar"/>
        </w:rPr>
        <w:t xml:space="preserve"> </w:t>
      </w:r>
    </w:p>
    <w:p w14:paraId="032CF1A4">
      <w:pPr>
        <w:keepNext w:val="0"/>
        <w:keepLines w:val="0"/>
        <w:widowControl/>
        <w:suppressLineNumbers w:val="0"/>
        <w:spacing w:line="240" w:lineRule="auto"/>
        <w:ind w:firstLine="562" w:firstLineChars="200"/>
        <w:jc w:val="left"/>
        <w:rPr>
          <w:rFonts w:hint="default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default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  <w:t>①构建全方位国家资助保障体系。</w:t>
      </w:r>
      <w:r>
        <w:rPr>
          <w:rFonts w:hint="default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  <w:t>学校建立了以</w:t>
      </w:r>
      <w:r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  <w:t>“</w:t>
      </w:r>
      <w:r>
        <w:rPr>
          <w:rFonts w:hint="default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  <w:t>奖、助、贷、勤、减、免、补</w:t>
      </w:r>
      <w:r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  <w:t>”</w:t>
      </w:r>
      <w:r>
        <w:rPr>
          <w:rFonts w:hint="default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  <w:t>为核心的七位一体国家资助制度，涵盖国家奖助学金、学业奖学金、国家助学贷款等多元资助形式。其中博士学业奖学金覆盖率达70%，硕士学业奖学金覆盖率达40%，国家助学金实现100%全覆盖，形成了层次分明、覆盖全面的资助育人体系。</w:t>
      </w:r>
      <w:r>
        <w:rPr>
          <w:rFonts w:hint="default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  <w:t>②打造立体化研究生奖助平台。</w:t>
      </w:r>
      <w:r>
        <w:rPr>
          <w:rFonts w:hint="default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  <w:t>学校构建了国家、高校、社会协同发力的三级奖助机制，校内研究生奖学金覆盖率高达40%，并积极拓展社会资源，与康仁堂等知名企业合作设立专项奖学金，形成了政府主导、学校主体、社会参与的多元化资助格局。</w:t>
      </w:r>
      <w:r>
        <w:rPr>
          <w:rFonts w:hint="default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  <w:t>③完善动态化资助保障机制。</w:t>
      </w:r>
      <w:r>
        <w:rPr>
          <w:rFonts w:hint="default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  <w:t>各学位点通过</w:t>
      </w:r>
      <w:r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  <w:t>“</w:t>
      </w:r>
      <w:r>
        <w:rPr>
          <w:rFonts w:hint="default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  <w:t>三助一辅</w:t>
      </w:r>
      <w:r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  <w:t>”</w:t>
      </w:r>
      <w:r>
        <w:rPr>
          <w:rFonts w:hint="default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  <w:t>岗位设置、困难补助、学费减免、应急救助及</w:t>
      </w:r>
      <w:r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  <w:t>助学</w:t>
      </w:r>
      <w:r>
        <w:rPr>
          <w:rFonts w:hint="default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  <w:t>贷款等举措，构建起覆盖学习生活各环节的动态资助体系，切实解决研究生后顾之忧，为其学业发展提供坚实保障。</w:t>
      </w:r>
    </w:p>
    <w:p w14:paraId="2E544263">
      <w:pPr>
        <w:spacing w:line="240" w:lineRule="auto"/>
        <w:ind w:firstLine="562" w:firstLineChars="200"/>
        <w:rPr>
          <w:rFonts w:hint="default" w:ascii="宋体" w:hAnsi="宋体" w:eastAsia="宋体" w:cs="宋体"/>
          <w:bCs w:val="0"/>
          <w:color w:val="000000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color w:val="000000"/>
          <w:kern w:val="2"/>
          <w:sz w:val="28"/>
          <w:szCs w:val="28"/>
          <w:lang w:val="en-US" w:eastAsia="zh-CN" w:bidi="ar-SA"/>
        </w:rPr>
        <w:t>5.2.3</w:t>
      </w:r>
      <w:r>
        <w:rPr>
          <w:rFonts w:hint="eastAsia" w:ascii="宋体" w:hAnsi="宋体" w:eastAsia="宋体" w:cs="宋体"/>
          <w:b/>
          <w:bCs/>
          <w:color w:val="000000"/>
          <w:sz w:val="28"/>
          <w:szCs w:val="28"/>
        </w:rPr>
        <w:t>学术训练</w:t>
      </w:r>
    </w:p>
    <w:p w14:paraId="3DC8A2C4">
      <w:pPr>
        <w:spacing w:line="240" w:lineRule="auto"/>
        <w:ind w:firstLine="562" w:firstLineChars="200"/>
        <w:rPr>
          <w:rFonts w:hint="eastAsia" w:ascii="宋体" w:hAnsi="宋体" w:eastAsia="宋体" w:cs="宋体"/>
          <w:b/>
          <w:bCs/>
          <w:color w:val="000000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color w:val="000000"/>
          <w:kern w:val="2"/>
          <w:sz w:val="28"/>
          <w:szCs w:val="28"/>
          <w:lang w:val="en-US" w:eastAsia="zh-CN" w:bidi="ar-SA"/>
        </w:rPr>
        <w:t>（1）多层次丰富学术训练</w:t>
      </w:r>
    </w:p>
    <w:p w14:paraId="1E2E90AD">
      <w:pPr>
        <w:spacing w:line="240" w:lineRule="auto"/>
        <w:ind w:firstLine="562" w:firstLineChars="200"/>
        <w:rPr>
          <w:rFonts w:hint="eastAsia" w:ascii="宋体" w:hAnsi="宋体" w:eastAsia="宋体" w:cs="宋体"/>
          <w:bCs w:val="0"/>
          <w:color w:val="000000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color w:val="000000"/>
          <w:kern w:val="2"/>
          <w:sz w:val="28"/>
          <w:szCs w:val="28"/>
          <w:lang w:val="en-US" w:eastAsia="zh-CN" w:bidi="ar-SA"/>
        </w:rPr>
        <w:t>①构建以能力提升为导向的科研训练体系</w:t>
      </w:r>
      <w:r>
        <w:rPr>
          <w:rFonts w:hint="eastAsia" w:ascii="宋体" w:hAnsi="宋体" w:eastAsia="宋体" w:cs="宋体"/>
          <w:bCs w:val="0"/>
          <w:color w:val="000000"/>
          <w:kern w:val="2"/>
          <w:sz w:val="28"/>
          <w:szCs w:val="28"/>
          <w:lang w:val="en-US" w:eastAsia="zh-CN" w:bidi="ar-SA"/>
        </w:rPr>
        <w:t>。通过定期开展科研素养系列培训，系统化提升科研基础能力；创新学术交流形式，组织学术论坛、专题工作坊、学术沙龙及科研汇报会等学术活动，构建“培训-交流-实践”三位一体的科研能力培养模式。</w:t>
      </w:r>
      <w:r>
        <w:rPr>
          <w:rFonts w:hint="eastAsia" w:ascii="宋体" w:hAnsi="宋体" w:eastAsia="宋体" w:cs="宋体"/>
          <w:b/>
          <w:bCs/>
          <w:color w:val="000000"/>
          <w:kern w:val="2"/>
          <w:sz w:val="28"/>
          <w:szCs w:val="28"/>
          <w:lang w:val="en-US" w:eastAsia="zh-CN" w:bidi="ar-SA"/>
        </w:rPr>
        <w:t>②实施以科研创新为核心的项目资助计划。</w:t>
      </w:r>
      <w:r>
        <w:rPr>
          <w:rFonts w:hint="eastAsia" w:ascii="宋体" w:hAnsi="宋体" w:eastAsia="宋体" w:cs="宋体"/>
          <w:bCs w:val="0"/>
          <w:color w:val="000000"/>
          <w:kern w:val="2"/>
          <w:sz w:val="28"/>
          <w:szCs w:val="28"/>
          <w:lang w:val="en-US" w:eastAsia="zh-CN" w:bidi="ar-SA"/>
        </w:rPr>
        <w:t>资助专项科研资助项目，为研究生科研创新提供有力保障。2023年设立研究生创新基金课题107项，资助总额达27.7万元。</w:t>
      </w:r>
    </w:p>
    <w:p w14:paraId="48B0E809">
      <w:pPr>
        <w:spacing w:line="240" w:lineRule="auto"/>
        <w:ind w:firstLine="562" w:firstLineChars="200"/>
        <w:rPr>
          <w:rFonts w:hint="default" w:ascii="宋体" w:hAnsi="宋体" w:eastAsia="宋体" w:cs="宋体"/>
          <w:b/>
          <w:bCs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color w:val="auto"/>
          <w:kern w:val="2"/>
          <w:sz w:val="28"/>
          <w:szCs w:val="28"/>
          <w:lang w:val="en-US" w:eastAsia="zh-CN" w:bidi="ar-SA"/>
        </w:rPr>
        <w:t>（2）多途径促进科</w:t>
      </w:r>
      <w:r>
        <w:rPr>
          <w:rFonts w:hint="default" w:ascii="宋体" w:hAnsi="宋体" w:eastAsia="宋体" w:cs="宋体"/>
          <w:b/>
          <w:bCs/>
          <w:color w:val="auto"/>
          <w:kern w:val="2"/>
          <w:sz w:val="28"/>
          <w:szCs w:val="28"/>
          <w:lang w:val="en-US" w:eastAsia="zh-CN" w:bidi="ar-SA"/>
        </w:rPr>
        <w:t>教融合</w:t>
      </w:r>
    </w:p>
    <w:p w14:paraId="15909DAB">
      <w:pPr>
        <w:spacing w:line="240" w:lineRule="auto"/>
        <w:ind w:firstLine="562" w:firstLineChars="200"/>
        <w:rPr>
          <w:rFonts w:hint="default" w:ascii="宋体" w:hAnsi="宋体" w:eastAsia="宋体" w:cs="宋体"/>
          <w:bCs w:val="0"/>
          <w:color w:val="000000"/>
          <w:kern w:val="2"/>
          <w:sz w:val="28"/>
          <w:szCs w:val="28"/>
          <w:lang w:val="en-US" w:eastAsia="zh-CN" w:bidi="ar-SA"/>
        </w:rPr>
      </w:pPr>
      <w:r>
        <w:rPr>
          <w:rFonts w:hint="default" w:ascii="宋体" w:hAnsi="宋体" w:eastAsia="宋体" w:cs="宋体"/>
          <w:b/>
          <w:bCs/>
          <w:color w:val="auto"/>
          <w:kern w:val="0"/>
          <w:sz w:val="28"/>
          <w:szCs w:val="28"/>
          <w:lang w:val="en-US" w:eastAsia="zh-CN" w:bidi="ar"/>
        </w:rPr>
        <w:t>①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8"/>
          <w:lang w:val="en-US" w:eastAsia="zh-CN" w:bidi="ar"/>
        </w:rPr>
        <w:t>构建</w:t>
      </w:r>
      <w:r>
        <w:rPr>
          <w:rFonts w:hint="default" w:ascii="宋体" w:hAnsi="宋体" w:eastAsia="宋体" w:cs="宋体"/>
          <w:b/>
          <w:bCs/>
          <w:color w:val="000000"/>
          <w:kern w:val="2"/>
          <w:sz w:val="28"/>
          <w:szCs w:val="28"/>
          <w:lang w:val="en-US" w:eastAsia="zh-CN" w:bidi="ar-SA"/>
        </w:rPr>
        <w:t>科研项目支撑体系</w:t>
      </w:r>
      <w:r>
        <w:rPr>
          <w:rFonts w:hint="eastAsia" w:ascii="宋体" w:hAnsi="宋体" w:eastAsia="宋体" w:cs="宋体"/>
          <w:b/>
          <w:bCs/>
          <w:color w:val="000000"/>
          <w:kern w:val="2"/>
          <w:sz w:val="28"/>
          <w:szCs w:val="28"/>
          <w:lang w:val="en-US" w:eastAsia="zh-CN" w:bidi="ar-SA"/>
        </w:rPr>
        <w:t>。</w:t>
      </w:r>
      <w:r>
        <w:rPr>
          <w:rFonts w:hint="default" w:ascii="宋体" w:hAnsi="宋体" w:eastAsia="宋体" w:cs="宋体"/>
          <w:bCs w:val="0"/>
          <w:color w:val="000000"/>
          <w:kern w:val="2"/>
          <w:sz w:val="28"/>
          <w:szCs w:val="28"/>
          <w:lang w:val="en-US" w:eastAsia="zh-CN" w:bidi="ar-SA"/>
        </w:rPr>
        <w:t>构建</w:t>
      </w:r>
      <w:r>
        <w:rPr>
          <w:rFonts w:hint="eastAsia" w:ascii="宋体" w:hAnsi="宋体" w:eastAsia="宋体" w:cs="宋体"/>
          <w:bCs w:val="0"/>
          <w:color w:val="000000"/>
          <w:kern w:val="2"/>
          <w:sz w:val="28"/>
          <w:szCs w:val="28"/>
          <w:lang w:val="en-US" w:eastAsia="zh-CN" w:bidi="ar-SA"/>
        </w:rPr>
        <w:t>“</w:t>
      </w:r>
      <w:r>
        <w:rPr>
          <w:rFonts w:hint="default" w:ascii="宋体" w:hAnsi="宋体" w:eastAsia="宋体" w:cs="宋体"/>
          <w:bCs w:val="0"/>
          <w:color w:val="000000"/>
          <w:kern w:val="2"/>
          <w:sz w:val="28"/>
          <w:szCs w:val="28"/>
          <w:lang w:val="en-US" w:eastAsia="zh-CN" w:bidi="ar-SA"/>
        </w:rPr>
        <w:t>科研反哺教学</w:t>
      </w:r>
      <w:r>
        <w:rPr>
          <w:rFonts w:hint="eastAsia" w:ascii="宋体" w:hAnsi="宋体" w:eastAsia="宋体" w:cs="宋体"/>
          <w:bCs w:val="0"/>
          <w:color w:val="000000"/>
          <w:kern w:val="2"/>
          <w:sz w:val="28"/>
          <w:szCs w:val="28"/>
          <w:lang w:val="en-US" w:eastAsia="zh-CN" w:bidi="ar-SA"/>
        </w:rPr>
        <w:t>”</w:t>
      </w:r>
      <w:r>
        <w:rPr>
          <w:rFonts w:hint="default" w:ascii="宋体" w:hAnsi="宋体" w:eastAsia="宋体" w:cs="宋体"/>
          <w:bCs w:val="0"/>
          <w:color w:val="000000"/>
          <w:kern w:val="2"/>
          <w:sz w:val="28"/>
          <w:szCs w:val="28"/>
          <w:lang w:val="en-US" w:eastAsia="zh-CN" w:bidi="ar-SA"/>
        </w:rPr>
        <w:t>长效机制，将国家级科研项目资源转化为教学素材，形成</w:t>
      </w:r>
      <w:r>
        <w:rPr>
          <w:rFonts w:hint="eastAsia" w:ascii="宋体" w:hAnsi="宋体" w:eastAsia="宋体" w:cs="宋体"/>
          <w:bCs w:val="0"/>
          <w:color w:val="000000"/>
          <w:kern w:val="2"/>
          <w:sz w:val="28"/>
          <w:szCs w:val="28"/>
          <w:lang w:val="en-US" w:eastAsia="zh-CN" w:bidi="ar-SA"/>
        </w:rPr>
        <w:t>“</w:t>
      </w:r>
      <w:r>
        <w:rPr>
          <w:rFonts w:hint="default" w:ascii="宋体" w:hAnsi="宋体" w:eastAsia="宋体" w:cs="宋体"/>
          <w:bCs w:val="0"/>
          <w:color w:val="000000"/>
          <w:kern w:val="2"/>
          <w:sz w:val="28"/>
          <w:szCs w:val="28"/>
          <w:lang w:val="en-US" w:eastAsia="zh-CN" w:bidi="ar-SA"/>
        </w:rPr>
        <w:t>科研问题进课堂、研究成果入教材</w:t>
      </w:r>
      <w:r>
        <w:rPr>
          <w:rFonts w:hint="eastAsia" w:ascii="宋体" w:hAnsi="宋体" w:eastAsia="宋体" w:cs="宋体"/>
          <w:bCs w:val="0"/>
          <w:color w:val="000000"/>
          <w:kern w:val="2"/>
          <w:sz w:val="28"/>
          <w:szCs w:val="28"/>
          <w:lang w:val="en-US" w:eastAsia="zh-CN" w:bidi="ar-SA"/>
        </w:rPr>
        <w:t>”</w:t>
      </w:r>
      <w:r>
        <w:rPr>
          <w:rFonts w:hint="default" w:ascii="宋体" w:hAnsi="宋体" w:eastAsia="宋体" w:cs="宋体"/>
          <w:bCs w:val="0"/>
          <w:color w:val="000000"/>
          <w:kern w:val="2"/>
          <w:sz w:val="28"/>
          <w:szCs w:val="28"/>
          <w:lang w:val="en-US" w:eastAsia="zh-CN" w:bidi="ar-SA"/>
        </w:rPr>
        <w:t>的教学模式</w:t>
      </w:r>
      <w:r>
        <w:rPr>
          <w:rFonts w:hint="eastAsia" w:ascii="宋体" w:hAnsi="宋体" w:eastAsia="宋体" w:cs="宋体"/>
          <w:bCs w:val="0"/>
          <w:color w:val="000000"/>
          <w:kern w:val="2"/>
          <w:sz w:val="28"/>
          <w:szCs w:val="28"/>
          <w:lang w:val="en-US" w:eastAsia="zh-CN" w:bidi="ar-SA"/>
        </w:rPr>
        <w:t>；实行“项目驱动”培养模式，博士生学位论文选题 100% 源自导师主持的国家级科研课题。</w:t>
      </w:r>
      <w:r>
        <w:rPr>
          <w:rFonts w:hint="default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  <w:t>②实施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  <w:t>“</w:t>
      </w:r>
      <w:r>
        <w:rPr>
          <w:rFonts w:hint="default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  <w:t>竞赛驱动创新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  <w:t>”</w:t>
      </w:r>
      <w:r>
        <w:rPr>
          <w:rFonts w:hint="default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  <w:t>战略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  <w:t>。</w:t>
      </w:r>
      <w:r>
        <w:rPr>
          <w:rFonts w:hint="eastAsia" w:ascii="宋体" w:hAnsi="宋体" w:eastAsia="宋体" w:cs="宋体"/>
          <w:bCs w:val="0"/>
          <w:color w:val="000000"/>
          <w:kern w:val="2"/>
          <w:sz w:val="28"/>
          <w:szCs w:val="28"/>
          <w:lang w:val="en-US" w:eastAsia="zh-CN" w:bidi="ar-SA"/>
        </w:rPr>
        <w:t>鼓励“</w:t>
      </w:r>
      <w:r>
        <w:rPr>
          <w:rFonts w:hint="default" w:ascii="宋体" w:hAnsi="宋体" w:eastAsia="宋体" w:cs="宋体"/>
          <w:bCs w:val="0"/>
          <w:color w:val="000000"/>
          <w:kern w:val="2"/>
          <w:sz w:val="28"/>
          <w:szCs w:val="28"/>
          <w:lang w:val="en-US" w:eastAsia="zh-CN" w:bidi="ar-SA"/>
        </w:rPr>
        <w:t>以赛促研</w:t>
      </w:r>
      <w:r>
        <w:rPr>
          <w:rFonts w:hint="eastAsia" w:ascii="宋体" w:hAnsi="宋体" w:eastAsia="宋体" w:cs="宋体"/>
          <w:bCs w:val="0"/>
          <w:color w:val="000000"/>
          <w:kern w:val="2"/>
          <w:sz w:val="28"/>
          <w:szCs w:val="28"/>
          <w:lang w:val="en-US" w:eastAsia="zh-CN" w:bidi="ar-SA"/>
        </w:rPr>
        <w:t>”</w:t>
      </w:r>
      <w:r>
        <w:rPr>
          <w:rFonts w:hint="default" w:ascii="宋体" w:hAnsi="宋体" w:eastAsia="宋体" w:cs="宋体"/>
          <w:bCs w:val="0"/>
          <w:color w:val="000000"/>
          <w:kern w:val="2"/>
          <w:sz w:val="28"/>
          <w:szCs w:val="28"/>
          <w:lang w:val="en-US" w:eastAsia="zh-CN" w:bidi="ar-SA"/>
        </w:rPr>
        <w:t>，组织</w:t>
      </w:r>
      <w:r>
        <w:rPr>
          <w:rFonts w:hint="eastAsia" w:ascii="宋体" w:hAnsi="宋体" w:eastAsia="宋体" w:cs="宋体"/>
          <w:bCs w:val="0"/>
          <w:color w:val="000000"/>
          <w:kern w:val="2"/>
          <w:sz w:val="28"/>
          <w:szCs w:val="28"/>
          <w:lang w:val="en-US" w:eastAsia="zh-CN" w:bidi="ar-SA"/>
        </w:rPr>
        <w:t>研究生</w:t>
      </w:r>
      <w:r>
        <w:rPr>
          <w:rFonts w:hint="default" w:ascii="宋体" w:hAnsi="宋体" w:eastAsia="宋体" w:cs="宋体"/>
          <w:bCs w:val="0"/>
          <w:color w:val="000000"/>
          <w:kern w:val="2"/>
          <w:sz w:val="28"/>
          <w:szCs w:val="28"/>
          <w:lang w:val="en-US" w:eastAsia="zh-CN" w:bidi="ar-SA"/>
        </w:rPr>
        <w:t>参加各类高水平学术竞赛；设立竞赛专项指导团队，提供全程指导；建立竞赛奖励机制，激发参与热情。</w:t>
      </w:r>
    </w:p>
    <w:p w14:paraId="381A55CE">
      <w:pPr>
        <w:spacing w:line="240" w:lineRule="auto"/>
        <w:jc w:val="center"/>
        <w:rPr>
          <w:rFonts w:hint="default" w:ascii="宋体" w:hAnsi="宋体" w:eastAsia="宋体" w:cs="宋体"/>
          <w:bCs w:val="0"/>
          <w:color w:val="000000"/>
          <w:kern w:val="2"/>
          <w:sz w:val="28"/>
          <w:szCs w:val="28"/>
          <w:lang w:val="en-US" w:eastAsia="zh-CN" w:bidi="ar-SA"/>
        </w:rPr>
      </w:pPr>
      <w:r>
        <w:drawing>
          <wp:inline distT="0" distB="0" distL="114300" distR="114300">
            <wp:extent cx="4812665" cy="3144520"/>
            <wp:effectExtent l="0" t="0" r="6985" b="1778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12665" cy="314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F1573">
      <w:pPr>
        <w:spacing w:line="240" w:lineRule="auto"/>
        <w:ind w:firstLine="562" w:firstLineChars="200"/>
        <w:rPr>
          <w:rFonts w:hint="eastAsia" w:ascii="宋体" w:hAnsi="宋体" w:eastAsia="宋体" w:cs="宋体"/>
          <w:bCs w:val="0"/>
          <w:color w:val="000000"/>
          <w:kern w:val="2"/>
          <w:sz w:val="28"/>
          <w:szCs w:val="28"/>
          <w:lang w:val="en-US" w:eastAsia="zh-CN" w:bidi="ar-SA"/>
        </w:rPr>
      </w:pPr>
      <w:bookmarkStart w:id="2" w:name="_Toc16120_WPSOffice_Level3"/>
      <w:r>
        <w:rPr>
          <w:rFonts w:hint="eastAsia" w:ascii="宋体" w:hAnsi="宋体" w:eastAsia="宋体" w:cs="宋体"/>
          <w:b/>
          <w:bCs/>
          <w:color w:val="000000"/>
          <w:kern w:val="2"/>
          <w:sz w:val="28"/>
          <w:szCs w:val="28"/>
          <w:lang w:val="en-US" w:eastAsia="zh-CN" w:bidi="ar-SA"/>
        </w:rPr>
        <w:t>5.2.4</w:t>
      </w:r>
      <w:r>
        <w:rPr>
          <w:rFonts w:hint="eastAsia" w:ascii="宋体" w:hAnsi="宋体" w:eastAsia="宋体" w:cs="宋体"/>
          <w:b/>
          <w:color w:val="000000"/>
          <w:sz w:val="28"/>
          <w:szCs w:val="28"/>
        </w:rPr>
        <w:t>学术交流</w:t>
      </w:r>
      <w:bookmarkEnd w:id="2"/>
    </w:p>
    <w:p w14:paraId="08EFC9DA">
      <w:pPr>
        <w:spacing w:line="240" w:lineRule="auto"/>
        <w:ind w:firstLine="562" w:firstLineChars="200"/>
        <w:rPr>
          <w:rFonts w:hint="default" w:ascii="宋体" w:hAnsi="宋体" w:eastAsia="宋体" w:cs="宋体"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28"/>
          <w:szCs w:val="28"/>
          <w:lang w:val="en-US" w:eastAsia="zh-CN"/>
        </w:rPr>
        <w:t>（1）</w:t>
      </w:r>
      <w:r>
        <w:rPr>
          <w:rFonts w:hint="default" w:ascii="宋体" w:hAnsi="宋体" w:eastAsia="宋体" w:cs="宋体"/>
          <w:b/>
          <w:bCs/>
          <w:color w:val="000000"/>
          <w:sz w:val="28"/>
          <w:szCs w:val="28"/>
          <w:lang w:val="en-US" w:eastAsia="zh-CN"/>
        </w:rPr>
        <w:t>构建多元化、多层次的学术交流平台</w:t>
      </w:r>
    </w:p>
    <w:p w14:paraId="100AB7A0">
      <w:pPr>
        <w:spacing w:line="240" w:lineRule="auto"/>
        <w:ind w:firstLine="560" w:firstLineChars="200"/>
        <w:rPr>
          <w:rFonts w:hint="default" w:ascii="宋体" w:hAnsi="宋体" w:eastAsia="宋体" w:cs="宋体"/>
          <w:color w:val="000000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color w:val="000000"/>
          <w:sz w:val="28"/>
          <w:szCs w:val="28"/>
          <w:lang w:val="en-US" w:eastAsia="zh-CN"/>
        </w:rPr>
        <w:t>通过</w:t>
      </w: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“</w:t>
      </w:r>
      <w:r>
        <w:rPr>
          <w:rFonts w:hint="default" w:ascii="宋体" w:hAnsi="宋体" w:eastAsia="宋体" w:cs="宋体"/>
          <w:color w:val="000000"/>
          <w:sz w:val="28"/>
          <w:szCs w:val="28"/>
          <w:lang w:val="en-US" w:eastAsia="zh-CN"/>
        </w:rPr>
        <w:t>品牌活动-学术组织-高端会议</w:t>
      </w: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”</w:t>
      </w:r>
      <w:r>
        <w:rPr>
          <w:rFonts w:hint="default" w:ascii="宋体" w:hAnsi="宋体" w:eastAsia="宋体" w:cs="宋体"/>
          <w:color w:val="000000"/>
          <w:sz w:val="28"/>
          <w:szCs w:val="28"/>
          <w:lang w:val="en-US" w:eastAsia="zh-CN"/>
        </w:rPr>
        <w:t>三位一体的建设模式，着力打造立体化、多维度的学术交流体系。</w:t>
      </w: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除</w:t>
      </w:r>
      <w:r>
        <w:rPr>
          <w:rFonts w:hint="default" w:ascii="宋体" w:hAnsi="宋体" w:eastAsia="宋体" w:cs="宋体"/>
          <w:color w:val="000000"/>
          <w:sz w:val="28"/>
          <w:szCs w:val="28"/>
          <w:lang w:val="en-US" w:eastAsia="zh-CN"/>
        </w:rPr>
        <w:t>硕博论坛、名师讲堂及仲景文化节等传统品牌学术活动</w:t>
      </w: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外</w:t>
      </w:r>
      <w:r>
        <w:rPr>
          <w:rFonts w:hint="default" w:ascii="宋体" w:hAnsi="宋体" w:eastAsia="宋体" w:cs="宋体"/>
          <w:color w:val="000000"/>
          <w:sz w:val="28"/>
          <w:szCs w:val="28"/>
          <w:lang w:val="en-US" w:eastAsia="zh-CN"/>
        </w:rPr>
        <w:t>，依托多位担任国家级学会主委、副主委的研究生导师，成功主办</w:t>
      </w: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“</w:t>
      </w:r>
      <w:r>
        <w:rPr>
          <w:rFonts w:hint="default" w:ascii="宋体" w:hAnsi="宋体" w:eastAsia="宋体" w:cs="宋体"/>
          <w:color w:val="000000"/>
          <w:sz w:val="28"/>
          <w:szCs w:val="28"/>
          <w:lang w:val="en-US" w:eastAsia="zh-CN"/>
        </w:rPr>
        <w:t>中国中医经方大会</w:t>
      </w: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”</w:t>
      </w:r>
      <w:r>
        <w:rPr>
          <w:rFonts w:hint="default" w:ascii="宋体" w:hAnsi="宋体" w:eastAsia="宋体" w:cs="宋体"/>
          <w:color w:val="000000"/>
          <w:sz w:val="28"/>
          <w:szCs w:val="28"/>
          <w:lang w:val="en-US" w:eastAsia="zh-CN"/>
        </w:rPr>
        <w:t>、</w:t>
      </w: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“</w:t>
      </w:r>
      <w:r>
        <w:rPr>
          <w:rFonts w:hint="default" w:ascii="宋体" w:hAnsi="宋体" w:eastAsia="宋体" w:cs="宋体"/>
          <w:color w:val="000000"/>
          <w:sz w:val="28"/>
          <w:szCs w:val="28"/>
          <w:lang w:val="en-US" w:eastAsia="zh-CN"/>
        </w:rPr>
        <w:t>黄河心血管病防治论坛</w:t>
      </w: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”</w:t>
      </w:r>
      <w:r>
        <w:rPr>
          <w:rFonts w:hint="default" w:ascii="宋体" w:hAnsi="宋体" w:eastAsia="宋体" w:cs="宋体"/>
          <w:color w:val="000000"/>
          <w:sz w:val="28"/>
          <w:szCs w:val="28"/>
          <w:lang w:val="en-US" w:eastAsia="zh-CN"/>
        </w:rPr>
        <w:t>等具有重要学术影响力的会议</w:t>
      </w: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，</w:t>
      </w:r>
      <w:r>
        <w:rPr>
          <w:rFonts w:hint="default" w:ascii="宋体" w:hAnsi="宋体" w:eastAsia="宋体" w:cs="宋体"/>
          <w:color w:val="000000"/>
          <w:sz w:val="28"/>
          <w:szCs w:val="28"/>
          <w:lang w:val="en-US" w:eastAsia="zh-CN"/>
        </w:rPr>
        <w:t>创新性设置硕博研究生分论坛，累计吸引超过600人次研究生参与。</w:t>
      </w:r>
    </w:p>
    <w:p w14:paraId="648A8D4A">
      <w:pPr>
        <w:spacing w:line="240" w:lineRule="auto"/>
        <w:ind w:firstLine="562" w:firstLineChars="200"/>
        <w:rPr>
          <w:rFonts w:hint="default" w:ascii="宋体" w:hAnsi="宋体" w:eastAsia="宋体" w:cs="宋体"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28"/>
          <w:szCs w:val="28"/>
          <w:lang w:val="en-US" w:eastAsia="zh-CN"/>
        </w:rPr>
        <w:t>（2）</w:t>
      </w:r>
      <w:r>
        <w:rPr>
          <w:rFonts w:hint="default" w:ascii="宋体" w:hAnsi="宋体" w:eastAsia="宋体" w:cs="宋体"/>
          <w:b/>
          <w:bCs/>
          <w:color w:val="000000"/>
          <w:sz w:val="28"/>
          <w:szCs w:val="28"/>
          <w:lang w:val="en-US" w:eastAsia="zh-CN"/>
        </w:rPr>
        <w:t>打造国际化、开放式的学术交流格局</w:t>
      </w:r>
    </w:p>
    <w:p w14:paraId="40C5CA13">
      <w:pPr>
        <w:spacing w:line="240" w:lineRule="auto"/>
        <w:ind w:firstLine="560" w:firstLineChars="200"/>
        <w:rPr>
          <w:rFonts w:hint="default" w:ascii="宋体" w:hAnsi="宋体" w:eastAsia="宋体" w:cs="宋体"/>
          <w:color w:val="000000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color w:val="000000"/>
          <w:sz w:val="28"/>
          <w:szCs w:val="28"/>
          <w:lang w:val="en-US" w:eastAsia="zh-CN"/>
        </w:rPr>
        <w:t>积极构建国际化交流网络，依托3个国家级中医药国际合作基地和多个校际学术交流平台，深入推进</w:t>
      </w: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“</w:t>
      </w:r>
      <w:r>
        <w:rPr>
          <w:rFonts w:hint="default" w:ascii="宋体" w:hAnsi="宋体" w:eastAsia="宋体" w:cs="宋体"/>
          <w:color w:val="000000"/>
          <w:sz w:val="28"/>
          <w:szCs w:val="28"/>
          <w:lang w:val="en-US" w:eastAsia="zh-CN"/>
        </w:rPr>
        <w:t>一带一路</w:t>
      </w: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”</w:t>
      </w:r>
      <w:r>
        <w:rPr>
          <w:rFonts w:hint="default" w:ascii="宋体" w:hAnsi="宋体" w:eastAsia="宋体" w:cs="宋体"/>
          <w:color w:val="000000"/>
          <w:sz w:val="28"/>
          <w:szCs w:val="28"/>
          <w:lang w:val="en-US" w:eastAsia="zh-CN"/>
        </w:rPr>
        <w:t>中医药国际合作。与马来西亚管理科学大学共建</w:t>
      </w: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“</w:t>
      </w:r>
      <w:r>
        <w:rPr>
          <w:rFonts w:hint="default" w:ascii="宋体" w:hAnsi="宋体" w:eastAsia="宋体" w:cs="宋体"/>
          <w:color w:val="000000"/>
          <w:sz w:val="28"/>
          <w:szCs w:val="28"/>
          <w:lang w:val="en-US" w:eastAsia="zh-CN"/>
        </w:rPr>
        <w:t>中国-马来西亚仲景中医药中心</w:t>
      </w: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”</w:t>
      </w:r>
      <w:r>
        <w:rPr>
          <w:rFonts w:hint="default" w:ascii="宋体" w:hAnsi="宋体" w:eastAsia="宋体" w:cs="宋体"/>
          <w:color w:val="000000"/>
          <w:sz w:val="28"/>
          <w:szCs w:val="28"/>
          <w:lang w:val="en-US" w:eastAsia="zh-CN"/>
        </w:rPr>
        <w:t>，打造中医药国际交流示范平台；设立专项基金支持研究生赴国（境）外开展学术交流。</w:t>
      </w:r>
    </w:p>
    <w:p w14:paraId="7AB4176E">
      <w:pPr>
        <w:spacing w:line="240" w:lineRule="auto"/>
        <w:ind w:firstLine="562" w:firstLineChars="200"/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kern w:val="2"/>
          <w:sz w:val="28"/>
          <w:szCs w:val="28"/>
          <w:lang w:val="en-US" w:eastAsia="zh-CN" w:bidi="ar-SA"/>
        </w:rPr>
        <w:t>5.2.5</w:t>
      </w:r>
      <w:r>
        <w:rPr>
          <w:rFonts w:hint="eastAsia" w:ascii="宋体" w:hAnsi="宋体" w:eastAsia="宋体" w:cs="宋体"/>
          <w:b/>
          <w:bCs/>
          <w:color w:val="000000"/>
          <w:sz w:val="28"/>
          <w:szCs w:val="28"/>
        </w:rPr>
        <w:t>论文质量</w:t>
      </w:r>
    </w:p>
    <w:p w14:paraId="60DDB611">
      <w:pPr>
        <w:spacing w:line="240" w:lineRule="auto"/>
        <w:ind w:firstLine="560" w:firstLineChars="200"/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学位点严格按照大学制定的《河南中医药大学研究生学位论文匿名评审办法（试行）》、《河南中医药大学研究生学位论文答辩工作规定》等多项文件，对学位论文进行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>全过程质量控制，包括原始材料审查</w:t>
      </w: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确保科研数据的真实性和可靠性，组织专家进行预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>答辩对论文进行严格把关，</w:t>
      </w: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双盲外审以确保评审过程客观公正，学校统一查重杜绝学术不端行为等，保障论文质量。</w:t>
      </w:r>
    </w:p>
    <w:p w14:paraId="322AB850">
      <w:pPr>
        <w:spacing w:line="240" w:lineRule="auto"/>
        <w:ind w:firstLine="560" w:firstLineChars="200"/>
        <w:rPr>
          <w:rFonts w:hint="default" w:ascii="宋体" w:hAnsi="宋体" w:eastAsia="宋体" w:cs="宋体"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2023年学术型</w:t>
      </w:r>
      <w:r>
        <w:rPr>
          <w:rFonts w:hint="eastAsia" w:ascii="宋体" w:hAnsi="宋体" w:eastAsia="宋体" w:cs="宋体"/>
          <w:color w:val="000000"/>
          <w:sz w:val="28"/>
          <w:szCs w:val="28"/>
        </w:rPr>
        <w:t>博士生学位论文</w:t>
      </w:r>
      <w:r>
        <w:rPr>
          <w:rFonts w:hint="eastAsia" w:ascii="宋体" w:hAnsi="宋体" w:eastAsia="宋体" w:cs="宋体"/>
          <w:color w:val="000000"/>
          <w:sz w:val="28"/>
          <w:szCs w:val="28"/>
          <w:lang w:eastAsia="zh-CN"/>
        </w:rPr>
        <w:t>外审</w:t>
      </w:r>
      <w:r>
        <w:rPr>
          <w:rFonts w:hint="eastAsia" w:ascii="宋体" w:hAnsi="宋体" w:eastAsia="宋体" w:cs="宋体"/>
          <w:color w:val="000000"/>
          <w:sz w:val="28"/>
          <w:szCs w:val="28"/>
        </w:rPr>
        <w:t>通过</w:t>
      </w: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率100%；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>河南省省级抽检通过率100%；国家级抽检合格率 100%；</w:t>
      </w: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共</w:t>
      </w:r>
      <w:r>
        <w:rPr>
          <w:rFonts w:hint="eastAsia" w:ascii="宋体" w:hAnsi="宋体" w:eastAsia="宋体" w:cs="宋体"/>
          <w:color w:val="000000"/>
          <w:sz w:val="28"/>
          <w:szCs w:val="28"/>
          <w:lang w:eastAsia="zh-CN"/>
        </w:rPr>
        <w:t>获河南省优秀</w:t>
      </w: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硕博</w:t>
      </w:r>
      <w:r>
        <w:rPr>
          <w:rFonts w:hint="eastAsia" w:ascii="宋体" w:hAnsi="宋体" w:eastAsia="宋体" w:cs="宋体"/>
          <w:color w:val="000000"/>
          <w:sz w:val="28"/>
          <w:szCs w:val="28"/>
          <w:lang w:eastAsia="zh-CN"/>
        </w:rPr>
        <w:t>毕业论文</w:t>
      </w: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2</w:t>
      </w:r>
      <w:r>
        <w:rPr>
          <w:rFonts w:hint="eastAsia" w:ascii="宋体" w:hAnsi="宋体" w:eastAsia="宋体" w:cs="宋体"/>
          <w:color w:val="000000"/>
          <w:sz w:val="28"/>
          <w:szCs w:val="28"/>
          <w:lang w:eastAsia="zh-CN"/>
        </w:rPr>
        <w:t>篇。</w:t>
      </w:r>
    </w:p>
    <w:p w14:paraId="787FA4E4">
      <w:pPr>
        <w:spacing w:line="240" w:lineRule="auto"/>
        <w:ind w:firstLine="562" w:firstLineChars="200"/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kern w:val="2"/>
          <w:sz w:val="28"/>
          <w:szCs w:val="28"/>
          <w:lang w:val="en-US" w:eastAsia="zh-CN" w:bidi="ar-SA"/>
        </w:rPr>
        <w:t>5.2.6</w:t>
      </w:r>
      <w:r>
        <w:rPr>
          <w:rFonts w:hint="eastAsia" w:ascii="宋体" w:hAnsi="宋体" w:eastAsia="宋体" w:cs="宋体"/>
          <w:b/>
          <w:bCs/>
          <w:color w:val="000000"/>
          <w:sz w:val="28"/>
          <w:szCs w:val="28"/>
          <w:lang w:val="en-US" w:eastAsia="zh-CN"/>
        </w:rPr>
        <w:t>质量保证</w:t>
      </w:r>
    </w:p>
    <w:p w14:paraId="6E43BABC">
      <w:pPr>
        <w:spacing w:line="240" w:lineRule="auto"/>
        <w:ind w:firstLine="562" w:firstLineChars="200"/>
        <w:rPr>
          <w:rFonts w:hint="eastAsia" w:ascii="宋体" w:hAnsi="宋体" w:eastAsia="宋体" w:cs="宋体"/>
          <w:b/>
          <w:bCs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kern w:val="2"/>
          <w:sz w:val="28"/>
          <w:szCs w:val="28"/>
          <w:lang w:val="en-US" w:eastAsia="zh-CN" w:bidi="ar-SA"/>
        </w:rPr>
        <w:t>（1）</w:t>
      </w:r>
      <w:r>
        <w:rPr>
          <w:rFonts w:hint="eastAsia" w:ascii="宋体" w:hAnsi="宋体" w:eastAsia="宋体" w:cs="宋体"/>
          <w:b/>
          <w:bCs/>
          <w:color w:val="000000"/>
          <w:sz w:val="28"/>
          <w:szCs w:val="28"/>
          <w:lang w:val="en-US" w:eastAsia="zh-CN"/>
        </w:rPr>
        <w:t>严抓培养全过程监控与质量保证</w:t>
      </w:r>
    </w:p>
    <w:p w14:paraId="2D376156">
      <w:pPr>
        <w:spacing w:line="240" w:lineRule="auto"/>
        <w:ind w:firstLine="562" w:firstLineChars="200"/>
        <w:rPr>
          <w:rFonts w:hint="default" w:ascii="宋体" w:hAnsi="宋体" w:eastAsia="宋体" w:cs="宋体"/>
          <w:color w:val="000000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/>
          <w:bCs/>
          <w:color w:val="auto"/>
          <w:kern w:val="0"/>
          <w:sz w:val="28"/>
          <w:szCs w:val="28"/>
          <w:lang w:val="en-US" w:eastAsia="zh-CN" w:bidi="ar"/>
        </w:rPr>
        <w:t>①</w:t>
      </w:r>
      <w:r>
        <w:rPr>
          <w:rFonts w:hint="default" w:ascii="宋体" w:hAnsi="宋体" w:eastAsia="宋体" w:cs="宋体"/>
          <w:b/>
          <w:bCs/>
          <w:color w:val="000000"/>
          <w:sz w:val="28"/>
          <w:szCs w:val="28"/>
          <w:lang w:val="en-US" w:eastAsia="zh-CN"/>
        </w:rPr>
        <w:t>全过程质量监控</w:t>
      </w:r>
      <w:r>
        <w:rPr>
          <w:rFonts w:hint="eastAsia" w:ascii="宋体" w:hAnsi="宋体" w:eastAsia="宋体" w:cs="宋体"/>
          <w:b/>
          <w:bCs/>
          <w:color w:val="000000"/>
          <w:sz w:val="28"/>
          <w:szCs w:val="28"/>
          <w:lang w:val="en-US" w:eastAsia="zh-CN"/>
        </w:rPr>
        <w:t>。</w:t>
      </w: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实施“招生-培养-毕业”全过程质量监控，涵盖招生选拔、课程学习、科研实践、学术道德、职业发展等环节。</w:t>
      </w:r>
      <w:r>
        <w:rPr>
          <w:rFonts w:hint="default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  <w:t>②</w:t>
      </w:r>
      <w:r>
        <w:rPr>
          <w:rFonts w:hint="eastAsia" w:ascii="宋体" w:hAnsi="宋体" w:eastAsia="宋体" w:cs="宋体"/>
          <w:b/>
          <w:bCs/>
          <w:color w:val="000000"/>
          <w:sz w:val="28"/>
          <w:szCs w:val="28"/>
          <w:lang w:val="en-US" w:eastAsia="zh-CN"/>
        </w:rPr>
        <w:t>多维度评价体系。</w:t>
      </w: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构建多维评价体系，评价内容包括课程考核、科研产出、临床实践、综合素质等；评价主体采用自我评价、导师评价、同行评价、社会评价相结合。</w:t>
      </w:r>
      <w:r>
        <w:rPr>
          <w:rFonts w:hint="default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  <w:t>③</w:t>
      </w:r>
      <w:r>
        <w:rPr>
          <w:rFonts w:hint="eastAsia" w:ascii="宋体" w:hAnsi="宋体" w:eastAsia="宋体" w:cs="宋体"/>
          <w:b/>
          <w:bCs/>
          <w:color w:val="000000"/>
          <w:sz w:val="28"/>
          <w:szCs w:val="28"/>
          <w:lang w:val="en-US" w:eastAsia="zh-CN"/>
        </w:rPr>
        <w:t>学业预警制度。</w:t>
      </w: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对课程成绩、科研进展、临床实践等关键指标进行实时监测，及时干预潜在学业风险并干预。</w:t>
      </w:r>
    </w:p>
    <w:p w14:paraId="1227D7E9">
      <w:pPr>
        <w:spacing w:line="240" w:lineRule="auto"/>
        <w:ind w:firstLine="562" w:firstLineChars="200"/>
        <w:rPr>
          <w:rFonts w:hint="eastAsia" w:ascii="宋体" w:hAnsi="宋体" w:eastAsia="宋体" w:cs="宋体"/>
          <w:b/>
          <w:bCs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kern w:val="2"/>
          <w:sz w:val="28"/>
          <w:szCs w:val="28"/>
          <w:lang w:val="en-US" w:eastAsia="zh-CN" w:bidi="ar-SA"/>
        </w:rPr>
        <w:t>（2）</w:t>
      </w:r>
      <w:r>
        <w:rPr>
          <w:rFonts w:hint="eastAsia" w:ascii="宋体" w:hAnsi="宋体" w:eastAsia="宋体" w:cs="宋体"/>
          <w:b/>
          <w:bCs/>
          <w:color w:val="000000"/>
          <w:sz w:val="28"/>
          <w:szCs w:val="28"/>
          <w:lang w:val="en-US" w:eastAsia="zh-CN"/>
        </w:rPr>
        <w:t>加强学位论文和学位授予管理</w:t>
      </w:r>
    </w:p>
    <w:p w14:paraId="5BD560C7">
      <w:pPr>
        <w:spacing w:line="240" w:lineRule="auto"/>
        <w:ind w:firstLine="560" w:firstLineChars="200"/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建立“全过程留痕-双盲评审-公开答辩”的学位论文质量保障闭环，对培养、科研、论文发表至学位授予各环节的原始记录审核并归档，确保培养过程可追溯。学位论文送审实行“双盲”评审，且每篇论文必经三名专家认真评审。严格管理答辩环节，要求提交答辩安排并经学院审核，答辩过程公开透明，接受各方监督。</w:t>
      </w:r>
    </w:p>
    <w:p w14:paraId="759D1F93">
      <w:pPr>
        <w:spacing w:line="240" w:lineRule="auto"/>
        <w:ind w:firstLine="562" w:firstLineChars="200"/>
        <w:rPr>
          <w:rFonts w:hint="eastAsia" w:ascii="宋体" w:hAnsi="宋体" w:eastAsia="宋体" w:cs="宋体"/>
          <w:b/>
          <w:bCs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kern w:val="2"/>
          <w:sz w:val="28"/>
          <w:szCs w:val="28"/>
          <w:lang w:val="en-US" w:eastAsia="zh-CN" w:bidi="ar-SA"/>
        </w:rPr>
        <w:t>（3）</w:t>
      </w:r>
      <w:r>
        <w:rPr>
          <w:rFonts w:hint="eastAsia" w:ascii="宋体" w:hAnsi="宋体" w:eastAsia="宋体" w:cs="宋体"/>
          <w:b/>
          <w:bCs/>
          <w:color w:val="000000"/>
          <w:sz w:val="28"/>
          <w:szCs w:val="28"/>
          <w:lang w:val="en-US" w:eastAsia="zh-CN"/>
        </w:rPr>
        <w:t>强化指导教师质量管控责任</w:t>
      </w:r>
    </w:p>
    <w:p w14:paraId="73160F8A">
      <w:pPr>
        <w:spacing w:line="240" w:lineRule="auto"/>
        <w:ind w:firstLine="562" w:firstLineChars="200"/>
        <w:rPr>
          <w:rFonts w:hint="eastAsia"/>
          <w:lang w:val="en-US" w:eastAsia="zh-CN"/>
        </w:rPr>
      </w:pPr>
      <w:r>
        <w:rPr>
          <w:rFonts w:hint="default" w:ascii="宋体" w:hAnsi="宋体" w:eastAsia="宋体" w:cs="宋体"/>
          <w:b/>
          <w:bCs/>
          <w:color w:val="auto"/>
          <w:kern w:val="0"/>
          <w:sz w:val="28"/>
          <w:szCs w:val="28"/>
          <w:lang w:val="en-US" w:eastAsia="zh-CN" w:bidi="ar"/>
        </w:rPr>
        <w:t>①</w:t>
      </w:r>
      <w:r>
        <w:rPr>
          <w:rFonts w:hint="eastAsia" w:ascii="宋体" w:hAnsi="宋体" w:eastAsia="宋体" w:cs="宋体"/>
          <w:b/>
          <w:bCs/>
          <w:color w:val="000000"/>
          <w:kern w:val="2"/>
          <w:sz w:val="28"/>
          <w:szCs w:val="28"/>
          <w:lang w:val="en-US" w:eastAsia="zh-CN" w:bidi="ar-SA"/>
        </w:rPr>
        <w:t>确立</w:t>
      </w:r>
      <w:r>
        <w:rPr>
          <w:rFonts w:hint="default" w:ascii="宋体" w:hAnsi="宋体" w:eastAsia="宋体" w:cs="宋体"/>
          <w:b/>
          <w:bCs/>
          <w:color w:val="000000"/>
          <w:kern w:val="2"/>
          <w:sz w:val="28"/>
          <w:szCs w:val="28"/>
          <w:lang w:val="en-US" w:eastAsia="zh-CN" w:bidi="ar-SA"/>
        </w:rPr>
        <w:t>导师责任落实机制</w:t>
      </w:r>
      <w:r>
        <w:rPr>
          <w:rFonts w:hint="eastAsia" w:ascii="宋体" w:hAnsi="宋体" w:eastAsia="宋体" w:cs="宋体"/>
          <w:b/>
          <w:bCs/>
          <w:color w:val="000000"/>
          <w:kern w:val="2"/>
          <w:sz w:val="28"/>
          <w:szCs w:val="28"/>
          <w:lang w:val="en-US" w:eastAsia="zh-CN" w:bidi="ar-SA"/>
        </w:rPr>
        <w:t>。</w:t>
      </w:r>
      <w:r>
        <w:rPr>
          <w:rFonts w:hint="eastAsia" w:ascii="宋体" w:hAnsi="宋体" w:eastAsia="宋体" w:cs="宋体"/>
          <w:bCs w:val="0"/>
          <w:color w:val="000000"/>
          <w:kern w:val="2"/>
          <w:sz w:val="28"/>
          <w:szCs w:val="28"/>
          <w:lang w:val="en-US" w:eastAsia="zh-CN" w:bidi="ar-SA"/>
        </w:rPr>
        <w:t>明确导师为研究生培养的第一责任人，</w:t>
      </w:r>
      <w:r>
        <w:rPr>
          <w:rFonts w:hint="default" w:ascii="宋体" w:hAnsi="宋体" w:eastAsia="宋体" w:cs="宋体"/>
          <w:bCs w:val="0"/>
          <w:color w:val="000000"/>
          <w:kern w:val="2"/>
          <w:sz w:val="28"/>
          <w:szCs w:val="28"/>
          <w:lang w:val="en-US" w:eastAsia="zh-CN" w:bidi="ar-SA"/>
        </w:rPr>
        <w:t>明确责任清单</w:t>
      </w:r>
      <w:r>
        <w:rPr>
          <w:rFonts w:hint="eastAsia" w:ascii="宋体" w:hAnsi="宋体" w:eastAsia="宋体" w:cs="宋体"/>
          <w:bCs w:val="0"/>
          <w:color w:val="000000"/>
          <w:kern w:val="2"/>
          <w:sz w:val="28"/>
          <w:szCs w:val="28"/>
          <w:lang w:val="en-US" w:eastAsia="zh-CN" w:bidi="ar-SA"/>
        </w:rPr>
        <w:t>，</w:t>
      </w:r>
      <w:r>
        <w:rPr>
          <w:rFonts w:hint="default" w:ascii="宋体" w:hAnsi="宋体" w:eastAsia="宋体" w:cs="宋体"/>
          <w:bCs w:val="0"/>
          <w:color w:val="000000"/>
          <w:kern w:val="2"/>
          <w:sz w:val="28"/>
          <w:szCs w:val="28"/>
          <w:lang w:val="en-US" w:eastAsia="zh-CN" w:bidi="ar-SA"/>
        </w:rPr>
        <w:t>制定导师指导工作规范；签订导师责任书，强化责任意识。</w:t>
      </w:r>
      <w:r>
        <w:rPr>
          <w:rFonts w:hint="default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  <w:t>②</w:t>
      </w:r>
      <w:r>
        <w:rPr>
          <w:rFonts w:hint="default" w:ascii="宋体" w:hAnsi="宋体" w:eastAsia="宋体" w:cs="宋体"/>
          <w:b/>
          <w:bCs/>
          <w:color w:val="000000"/>
          <w:kern w:val="2"/>
          <w:sz w:val="28"/>
          <w:szCs w:val="28"/>
          <w:lang w:val="en-US" w:eastAsia="zh-CN" w:bidi="ar-SA"/>
        </w:rPr>
        <w:t>完善</w:t>
      </w:r>
      <w:r>
        <w:rPr>
          <w:rFonts w:hint="eastAsia" w:ascii="宋体" w:hAnsi="宋体" w:eastAsia="宋体" w:cs="宋体"/>
          <w:b/>
          <w:bCs/>
          <w:color w:val="000000"/>
          <w:kern w:val="2"/>
          <w:sz w:val="28"/>
          <w:szCs w:val="28"/>
          <w:lang w:val="en-US" w:eastAsia="zh-CN" w:bidi="ar-SA"/>
        </w:rPr>
        <w:t>质量管控</w:t>
      </w:r>
      <w:r>
        <w:rPr>
          <w:rFonts w:hint="default" w:ascii="宋体" w:hAnsi="宋体" w:eastAsia="宋体" w:cs="宋体"/>
          <w:b/>
          <w:bCs/>
          <w:color w:val="000000"/>
          <w:kern w:val="2"/>
          <w:sz w:val="28"/>
          <w:szCs w:val="28"/>
          <w:lang w:val="en-US" w:eastAsia="zh-CN" w:bidi="ar-SA"/>
        </w:rPr>
        <w:t>机制</w:t>
      </w:r>
      <w:r>
        <w:rPr>
          <w:rFonts w:hint="eastAsia" w:ascii="宋体" w:hAnsi="宋体" w:eastAsia="宋体" w:cs="宋体"/>
          <w:b/>
          <w:bCs/>
          <w:color w:val="000000"/>
          <w:kern w:val="2"/>
          <w:sz w:val="28"/>
          <w:szCs w:val="28"/>
          <w:lang w:val="en-US" w:eastAsia="zh-CN" w:bidi="ar-SA"/>
        </w:rPr>
        <w:t>。</w:t>
      </w:r>
      <w:r>
        <w:rPr>
          <w:rFonts w:hint="default" w:ascii="宋体" w:hAnsi="宋体" w:eastAsia="宋体" w:cs="宋体"/>
          <w:bCs w:val="0"/>
          <w:color w:val="000000"/>
          <w:kern w:val="2"/>
          <w:sz w:val="28"/>
          <w:szCs w:val="28"/>
          <w:lang w:val="en-US" w:eastAsia="zh-CN" w:bidi="ar-SA"/>
        </w:rPr>
        <w:t>实行导师组联合指导制度，发挥团队优势；</w:t>
      </w:r>
      <w:r>
        <w:rPr>
          <w:rFonts w:hint="eastAsia" w:ascii="宋体" w:hAnsi="宋体" w:eastAsia="宋体" w:cs="宋体"/>
          <w:bCs w:val="0"/>
          <w:color w:val="000000"/>
          <w:kern w:val="2"/>
          <w:sz w:val="28"/>
          <w:szCs w:val="28"/>
          <w:lang w:val="en-US" w:eastAsia="zh-CN" w:bidi="ar-SA"/>
        </w:rPr>
        <w:t>鼓励</w:t>
      </w:r>
      <w:r>
        <w:rPr>
          <w:rFonts w:hint="default" w:ascii="宋体" w:hAnsi="宋体" w:eastAsia="宋体" w:cs="宋体"/>
          <w:bCs w:val="0"/>
          <w:color w:val="000000"/>
          <w:kern w:val="2"/>
          <w:sz w:val="28"/>
          <w:szCs w:val="28"/>
          <w:lang w:val="en-US" w:eastAsia="zh-CN" w:bidi="ar-SA"/>
        </w:rPr>
        <w:t>定期汇报，</w:t>
      </w:r>
      <w:r>
        <w:rPr>
          <w:rFonts w:hint="eastAsia" w:ascii="宋体" w:hAnsi="宋体" w:eastAsia="宋体" w:cs="宋体"/>
          <w:bCs w:val="0"/>
          <w:color w:val="000000"/>
          <w:kern w:val="2"/>
          <w:sz w:val="28"/>
          <w:szCs w:val="28"/>
          <w:lang w:val="en-US" w:eastAsia="zh-CN" w:bidi="ar-SA"/>
        </w:rPr>
        <w:t>检查研究生学习、科研进展</w:t>
      </w:r>
      <w:r>
        <w:rPr>
          <w:rFonts w:hint="default" w:ascii="宋体" w:hAnsi="宋体" w:eastAsia="宋体" w:cs="宋体"/>
          <w:bCs w:val="0"/>
          <w:color w:val="000000"/>
          <w:kern w:val="2"/>
          <w:sz w:val="28"/>
          <w:szCs w:val="28"/>
          <w:lang w:val="en-US" w:eastAsia="zh-CN" w:bidi="ar-SA"/>
        </w:rPr>
        <w:t>；</w:t>
      </w:r>
      <w:r>
        <w:rPr>
          <w:rFonts w:hint="eastAsia" w:ascii="宋体" w:hAnsi="宋体" w:eastAsia="宋体" w:cs="宋体"/>
          <w:bCs w:val="0"/>
          <w:color w:val="000000"/>
          <w:kern w:val="2"/>
          <w:sz w:val="28"/>
          <w:szCs w:val="28"/>
          <w:lang w:val="en-US" w:eastAsia="zh-CN" w:bidi="ar-SA"/>
        </w:rPr>
        <w:t>建立中期考核，</w:t>
      </w:r>
      <w:r>
        <w:rPr>
          <w:rFonts w:hint="default" w:ascii="宋体" w:hAnsi="宋体" w:eastAsia="宋体" w:cs="宋体"/>
          <w:bCs w:val="0"/>
          <w:color w:val="000000"/>
          <w:kern w:val="2"/>
          <w:sz w:val="28"/>
          <w:szCs w:val="28"/>
          <w:lang w:val="en-US" w:eastAsia="zh-CN" w:bidi="ar-SA"/>
        </w:rPr>
        <w:t>确保指导质量。</w:t>
      </w:r>
    </w:p>
    <w:p w14:paraId="0D5C7AC5">
      <w:pPr>
        <w:spacing w:line="240" w:lineRule="auto"/>
        <w:ind w:firstLine="562" w:firstLineChars="200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kern w:val="2"/>
          <w:sz w:val="28"/>
          <w:szCs w:val="28"/>
          <w:lang w:val="en-US" w:eastAsia="zh-CN" w:bidi="ar-SA"/>
        </w:rPr>
        <w:t>5.2.7</w:t>
      </w:r>
      <w:r>
        <w:rPr>
          <w:rFonts w:hint="eastAsia" w:ascii="宋体" w:hAnsi="宋体" w:eastAsia="宋体" w:cs="宋体"/>
          <w:b/>
          <w:bCs/>
          <w:color w:val="000000"/>
          <w:sz w:val="28"/>
          <w:szCs w:val="28"/>
        </w:rPr>
        <w:t>学风建设</w:t>
      </w:r>
    </w:p>
    <w:p w14:paraId="40F54FF2">
      <w:pPr>
        <w:keepNext w:val="0"/>
        <w:keepLines w:val="0"/>
        <w:widowControl/>
        <w:suppressLineNumbers w:val="0"/>
        <w:spacing w:line="240" w:lineRule="auto"/>
        <w:ind w:firstLine="562" w:firstLineChars="200"/>
        <w:jc w:val="left"/>
        <w:rPr>
          <w:rFonts w:hint="eastAsia" w:ascii="宋体" w:hAnsi="宋体" w:eastAsia="宋体" w:cs="宋体"/>
          <w:b/>
          <w:bCs/>
          <w:color w:val="000000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color w:val="000000"/>
          <w:kern w:val="2"/>
          <w:sz w:val="28"/>
          <w:szCs w:val="28"/>
          <w:lang w:val="en-US" w:eastAsia="zh-CN" w:bidi="ar-SA"/>
        </w:rPr>
        <w:t>（1）</w:t>
      </w:r>
      <w:r>
        <w:rPr>
          <w:rFonts w:hint="default" w:ascii="宋体" w:hAnsi="宋体" w:eastAsia="宋体" w:cs="宋体"/>
          <w:b/>
          <w:bCs/>
          <w:color w:val="000000"/>
          <w:kern w:val="2"/>
          <w:sz w:val="28"/>
          <w:szCs w:val="28"/>
          <w:lang w:val="en-US" w:eastAsia="zh-CN" w:bidi="ar-SA"/>
        </w:rPr>
        <w:t>学术诚信教育体系</w:t>
      </w:r>
    </w:p>
    <w:p w14:paraId="5EC1628C">
      <w:pPr>
        <w:keepNext w:val="0"/>
        <w:keepLines w:val="0"/>
        <w:widowControl/>
        <w:suppressLineNumbers w:val="0"/>
        <w:spacing w:line="240" w:lineRule="auto"/>
        <w:ind w:firstLine="562" w:firstLineChars="200"/>
        <w:jc w:val="left"/>
        <w:rPr>
          <w:rFonts w:hint="default" w:ascii="宋体" w:hAnsi="宋体" w:eastAsia="宋体" w:cs="宋体"/>
          <w:bCs w:val="0"/>
          <w:color w:val="000000"/>
          <w:kern w:val="2"/>
          <w:sz w:val="28"/>
          <w:szCs w:val="28"/>
          <w:lang w:val="en-US" w:eastAsia="zh-CN" w:bidi="ar-SA"/>
        </w:rPr>
      </w:pPr>
      <w:r>
        <w:rPr>
          <w:rFonts w:hint="default" w:ascii="宋体" w:hAnsi="宋体" w:eastAsia="宋体" w:cs="宋体"/>
          <w:b/>
          <w:bCs/>
          <w:color w:val="auto"/>
          <w:kern w:val="0"/>
          <w:sz w:val="28"/>
          <w:szCs w:val="28"/>
          <w:lang w:val="en-US" w:eastAsia="zh-CN" w:bidi="ar"/>
        </w:rPr>
        <w:t>①</w:t>
      </w:r>
      <w:r>
        <w:rPr>
          <w:rFonts w:hint="default" w:ascii="宋体" w:hAnsi="宋体" w:eastAsia="宋体" w:cs="宋体"/>
          <w:b/>
          <w:bCs/>
          <w:color w:val="000000"/>
          <w:kern w:val="2"/>
          <w:sz w:val="28"/>
          <w:szCs w:val="28"/>
          <w:lang w:val="en-US" w:eastAsia="zh-CN" w:bidi="ar-SA"/>
        </w:rPr>
        <w:t>教育内容系统化</w:t>
      </w:r>
      <w:r>
        <w:rPr>
          <w:rFonts w:hint="eastAsia" w:ascii="宋体" w:hAnsi="宋体" w:eastAsia="宋体" w:cs="宋体"/>
          <w:b/>
          <w:bCs/>
          <w:color w:val="000000"/>
          <w:kern w:val="2"/>
          <w:sz w:val="28"/>
          <w:szCs w:val="28"/>
          <w:lang w:val="en-US" w:eastAsia="zh-CN" w:bidi="ar-SA"/>
        </w:rPr>
        <w:t>。</w:t>
      </w:r>
      <w:r>
        <w:rPr>
          <w:rFonts w:hint="default" w:ascii="宋体" w:hAnsi="宋体" w:eastAsia="宋体" w:cs="宋体"/>
          <w:bCs w:val="0"/>
          <w:color w:val="000000"/>
          <w:kern w:val="2"/>
          <w:sz w:val="28"/>
          <w:szCs w:val="28"/>
          <w:lang w:val="en-US" w:eastAsia="zh-CN" w:bidi="ar-SA"/>
        </w:rPr>
        <w:t>将学术诚信、学术规范、伦理道德</w:t>
      </w:r>
      <w:r>
        <w:rPr>
          <w:rFonts w:hint="eastAsia" w:ascii="宋体" w:hAnsi="宋体" w:eastAsia="宋体" w:cs="宋体"/>
          <w:bCs w:val="0"/>
          <w:color w:val="000000"/>
          <w:kern w:val="2"/>
          <w:sz w:val="28"/>
          <w:szCs w:val="28"/>
          <w:lang w:val="en-US" w:eastAsia="zh-CN" w:bidi="ar-SA"/>
        </w:rPr>
        <w:t>等</w:t>
      </w:r>
      <w:r>
        <w:rPr>
          <w:rFonts w:hint="default" w:ascii="宋体" w:hAnsi="宋体" w:eastAsia="宋体" w:cs="宋体"/>
          <w:bCs w:val="0"/>
          <w:color w:val="000000"/>
          <w:kern w:val="2"/>
          <w:sz w:val="28"/>
          <w:szCs w:val="28"/>
          <w:lang w:val="en-US" w:eastAsia="zh-CN" w:bidi="ar-SA"/>
        </w:rPr>
        <w:t>纳入必修课程体系；开设</w:t>
      </w:r>
      <w:r>
        <w:rPr>
          <w:rFonts w:hint="eastAsia" w:ascii="宋体" w:hAnsi="宋体" w:eastAsia="宋体" w:cs="宋体"/>
          <w:bCs w:val="0"/>
          <w:color w:val="000000"/>
          <w:kern w:val="2"/>
          <w:sz w:val="28"/>
          <w:szCs w:val="28"/>
          <w:lang w:val="en-US" w:eastAsia="zh-CN" w:bidi="ar-SA"/>
        </w:rPr>
        <w:t>“</w:t>
      </w:r>
      <w:r>
        <w:rPr>
          <w:rFonts w:hint="default" w:ascii="宋体" w:hAnsi="宋体" w:eastAsia="宋体" w:cs="宋体"/>
          <w:bCs w:val="0"/>
          <w:color w:val="000000"/>
          <w:kern w:val="2"/>
          <w:sz w:val="28"/>
          <w:szCs w:val="28"/>
          <w:lang w:val="en-US" w:eastAsia="zh-CN" w:bidi="ar-SA"/>
        </w:rPr>
        <w:t>科研诚信与学术规范</w:t>
      </w:r>
      <w:r>
        <w:rPr>
          <w:rFonts w:hint="eastAsia" w:ascii="宋体" w:hAnsi="宋体" w:eastAsia="宋体" w:cs="宋体"/>
          <w:bCs w:val="0"/>
          <w:color w:val="000000"/>
          <w:kern w:val="2"/>
          <w:sz w:val="28"/>
          <w:szCs w:val="28"/>
          <w:lang w:val="en-US" w:eastAsia="zh-CN" w:bidi="ar-SA"/>
        </w:rPr>
        <w:t>”</w:t>
      </w:r>
      <w:r>
        <w:rPr>
          <w:rFonts w:hint="default" w:ascii="宋体" w:hAnsi="宋体" w:eastAsia="宋体" w:cs="宋体"/>
          <w:bCs w:val="0"/>
          <w:color w:val="000000"/>
          <w:kern w:val="2"/>
          <w:sz w:val="28"/>
          <w:szCs w:val="28"/>
          <w:lang w:val="en-US" w:eastAsia="zh-CN" w:bidi="ar-SA"/>
        </w:rPr>
        <w:t>专题课程，强化底线意识。</w:t>
      </w:r>
      <w:r>
        <w:rPr>
          <w:rFonts w:hint="default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  <w:t>②</w:t>
      </w:r>
      <w:r>
        <w:rPr>
          <w:rFonts w:hint="default" w:ascii="宋体" w:hAnsi="宋体" w:eastAsia="宋体" w:cs="宋体"/>
          <w:b/>
          <w:bCs/>
          <w:color w:val="000000"/>
          <w:kern w:val="2"/>
          <w:sz w:val="28"/>
          <w:szCs w:val="28"/>
          <w:lang w:val="en-US" w:eastAsia="zh-CN" w:bidi="ar-SA"/>
        </w:rPr>
        <w:t>教育形式多样化</w:t>
      </w:r>
      <w:r>
        <w:rPr>
          <w:rFonts w:hint="eastAsia" w:ascii="宋体" w:hAnsi="宋体" w:eastAsia="宋体" w:cs="宋体"/>
          <w:b/>
          <w:bCs/>
          <w:color w:val="000000"/>
          <w:kern w:val="2"/>
          <w:sz w:val="28"/>
          <w:szCs w:val="28"/>
          <w:lang w:val="en-US" w:eastAsia="zh-CN" w:bidi="ar-SA"/>
        </w:rPr>
        <w:t>。</w:t>
      </w:r>
      <w:r>
        <w:rPr>
          <w:rFonts w:hint="default" w:ascii="宋体" w:hAnsi="宋体" w:eastAsia="宋体" w:cs="宋体"/>
          <w:bCs w:val="0"/>
          <w:color w:val="000000"/>
          <w:kern w:val="2"/>
          <w:sz w:val="28"/>
          <w:szCs w:val="28"/>
          <w:lang w:val="en-US" w:eastAsia="zh-CN" w:bidi="ar-SA"/>
        </w:rPr>
        <w:t>新生入学签署学术诚信承诺书</w:t>
      </w:r>
      <w:r>
        <w:rPr>
          <w:rFonts w:hint="eastAsia" w:ascii="宋体" w:hAnsi="宋体" w:eastAsia="宋体" w:cs="宋体"/>
          <w:bCs w:val="0"/>
          <w:color w:val="000000"/>
          <w:kern w:val="2"/>
          <w:sz w:val="28"/>
          <w:szCs w:val="28"/>
          <w:lang w:val="en-US" w:eastAsia="zh-CN" w:bidi="ar-SA"/>
        </w:rPr>
        <w:t>，</w:t>
      </w:r>
      <w:r>
        <w:rPr>
          <w:rFonts w:hint="default" w:ascii="宋体" w:hAnsi="宋体" w:eastAsia="宋体" w:cs="宋体"/>
          <w:bCs w:val="0"/>
          <w:color w:val="000000"/>
          <w:kern w:val="2"/>
          <w:sz w:val="28"/>
          <w:szCs w:val="28"/>
          <w:lang w:val="en-US" w:eastAsia="zh-CN" w:bidi="ar-SA"/>
        </w:rPr>
        <w:t>定期举办学术道德专题讲座，组织学术规范案例研讨，开展学风专题教育</w:t>
      </w:r>
      <w:r>
        <w:rPr>
          <w:rFonts w:hint="eastAsia" w:ascii="宋体" w:hAnsi="宋体" w:eastAsia="宋体" w:cs="宋体"/>
          <w:bCs w:val="0"/>
          <w:color w:val="000000"/>
          <w:kern w:val="2"/>
          <w:sz w:val="28"/>
          <w:szCs w:val="28"/>
          <w:lang w:val="en-US" w:eastAsia="zh-CN" w:bidi="ar-SA"/>
        </w:rPr>
        <w:t>。</w:t>
      </w:r>
    </w:p>
    <w:p w14:paraId="6AADC653">
      <w:pPr>
        <w:keepNext w:val="0"/>
        <w:keepLines w:val="0"/>
        <w:widowControl/>
        <w:suppressLineNumbers w:val="0"/>
        <w:spacing w:line="240" w:lineRule="auto"/>
        <w:ind w:firstLine="562" w:firstLineChars="200"/>
        <w:jc w:val="left"/>
        <w:rPr>
          <w:rFonts w:hint="default" w:ascii="宋体" w:hAnsi="宋体" w:eastAsia="宋体" w:cs="宋体"/>
          <w:b/>
          <w:bCs/>
          <w:color w:val="000000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color w:val="000000"/>
          <w:kern w:val="2"/>
          <w:sz w:val="28"/>
          <w:szCs w:val="28"/>
          <w:lang w:val="en-US" w:eastAsia="zh-CN" w:bidi="ar-SA"/>
        </w:rPr>
        <w:t>（2）</w:t>
      </w:r>
      <w:r>
        <w:rPr>
          <w:rFonts w:hint="default" w:ascii="宋体" w:hAnsi="宋体" w:eastAsia="宋体" w:cs="宋体"/>
          <w:b/>
          <w:bCs/>
          <w:color w:val="000000"/>
          <w:kern w:val="2"/>
          <w:sz w:val="28"/>
          <w:szCs w:val="28"/>
          <w:lang w:val="en-US" w:eastAsia="zh-CN" w:bidi="ar-SA"/>
        </w:rPr>
        <w:t>学术不端预防机制</w:t>
      </w:r>
    </w:p>
    <w:p w14:paraId="08855F4E">
      <w:pPr>
        <w:keepNext w:val="0"/>
        <w:keepLines w:val="0"/>
        <w:widowControl/>
        <w:suppressLineNumbers w:val="0"/>
        <w:spacing w:line="240" w:lineRule="auto"/>
        <w:ind w:firstLine="562" w:firstLineChars="200"/>
        <w:jc w:val="left"/>
        <w:rPr>
          <w:rFonts w:hint="default"/>
          <w:lang w:val="en-US" w:eastAsia="zh-CN"/>
        </w:rPr>
      </w:pPr>
      <w:r>
        <w:rPr>
          <w:rFonts w:hint="default" w:ascii="宋体" w:hAnsi="宋体" w:eastAsia="宋体" w:cs="宋体"/>
          <w:b/>
          <w:bCs/>
          <w:color w:val="auto"/>
          <w:kern w:val="0"/>
          <w:sz w:val="28"/>
          <w:szCs w:val="28"/>
          <w:lang w:val="en-US" w:eastAsia="zh-CN" w:bidi="ar"/>
        </w:rPr>
        <w:t>①</w:t>
      </w:r>
      <w:r>
        <w:rPr>
          <w:rFonts w:hint="default" w:ascii="宋体" w:hAnsi="宋体" w:eastAsia="宋体" w:cs="宋体"/>
          <w:b/>
          <w:bCs/>
          <w:color w:val="000000"/>
          <w:kern w:val="2"/>
          <w:sz w:val="28"/>
          <w:szCs w:val="28"/>
          <w:lang w:val="en-US" w:eastAsia="zh-CN" w:bidi="ar-SA"/>
        </w:rPr>
        <w:t>制度保障体系</w:t>
      </w:r>
      <w:r>
        <w:rPr>
          <w:rFonts w:hint="eastAsia" w:ascii="宋体" w:hAnsi="宋体" w:eastAsia="宋体" w:cs="宋体"/>
          <w:b/>
          <w:bCs/>
          <w:color w:val="000000"/>
          <w:kern w:val="2"/>
          <w:sz w:val="28"/>
          <w:szCs w:val="28"/>
          <w:lang w:val="en-US" w:eastAsia="zh-CN" w:bidi="ar-SA"/>
        </w:rPr>
        <w:t>。</w:t>
      </w:r>
      <w:r>
        <w:rPr>
          <w:rFonts w:hint="default" w:ascii="宋体" w:hAnsi="宋体" w:eastAsia="宋体" w:cs="宋体"/>
          <w:bCs w:val="0"/>
          <w:color w:val="000000"/>
          <w:kern w:val="2"/>
          <w:sz w:val="28"/>
          <w:szCs w:val="28"/>
          <w:lang w:val="en-US" w:eastAsia="zh-CN" w:bidi="ar-SA"/>
        </w:rPr>
        <w:t>严格执行《高等学校预防与处理学术不端行为办法》</w:t>
      </w:r>
      <w:r>
        <w:rPr>
          <w:rFonts w:hint="eastAsia" w:ascii="宋体" w:hAnsi="宋体" w:eastAsia="宋体" w:cs="宋体"/>
          <w:bCs w:val="0"/>
          <w:color w:val="000000"/>
          <w:kern w:val="2"/>
          <w:sz w:val="28"/>
          <w:szCs w:val="28"/>
          <w:lang w:val="en-US" w:eastAsia="zh-CN" w:bidi="ar-SA"/>
        </w:rPr>
        <w:t>，</w:t>
      </w:r>
      <w:r>
        <w:rPr>
          <w:rFonts w:hint="default" w:ascii="宋体" w:hAnsi="宋体" w:eastAsia="宋体" w:cs="宋体"/>
          <w:bCs w:val="0"/>
          <w:color w:val="000000"/>
          <w:kern w:val="2"/>
          <w:sz w:val="28"/>
          <w:szCs w:val="28"/>
          <w:lang w:val="en-US" w:eastAsia="zh-CN" w:bidi="ar-SA"/>
        </w:rPr>
        <w:t>实行学位论文全过程查重制度</w:t>
      </w:r>
      <w:r>
        <w:rPr>
          <w:rFonts w:hint="eastAsia" w:ascii="宋体" w:hAnsi="宋体" w:eastAsia="宋体" w:cs="宋体"/>
          <w:bCs w:val="0"/>
          <w:color w:val="000000"/>
          <w:kern w:val="2"/>
          <w:sz w:val="28"/>
          <w:szCs w:val="28"/>
          <w:lang w:val="en-US" w:eastAsia="zh-CN" w:bidi="ar-SA"/>
        </w:rPr>
        <w:t>，</w:t>
      </w:r>
      <w:r>
        <w:rPr>
          <w:rFonts w:hint="default" w:ascii="宋体" w:hAnsi="宋体" w:eastAsia="宋体" w:cs="宋体"/>
          <w:bCs w:val="0"/>
          <w:color w:val="000000"/>
          <w:kern w:val="2"/>
          <w:sz w:val="28"/>
          <w:szCs w:val="28"/>
          <w:lang w:val="en-US" w:eastAsia="zh-CN" w:bidi="ar-SA"/>
        </w:rPr>
        <w:t>建立学术不端行为查处规程。</w:t>
      </w:r>
      <w:r>
        <w:rPr>
          <w:rFonts w:hint="default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  <w:t>②</w:t>
      </w:r>
      <w:r>
        <w:rPr>
          <w:rFonts w:hint="default" w:ascii="宋体" w:hAnsi="宋体" w:eastAsia="宋体" w:cs="宋体"/>
          <w:b/>
          <w:bCs/>
          <w:color w:val="000000"/>
          <w:kern w:val="2"/>
          <w:sz w:val="28"/>
          <w:szCs w:val="28"/>
          <w:lang w:val="en-US" w:eastAsia="zh-CN" w:bidi="ar-SA"/>
        </w:rPr>
        <w:t>监督预警机制</w:t>
      </w:r>
      <w:r>
        <w:rPr>
          <w:rFonts w:hint="eastAsia" w:ascii="宋体" w:hAnsi="宋体" w:eastAsia="宋体" w:cs="宋体"/>
          <w:b/>
          <w:bCs/>
          <w:color w:val="000000"/>
          <w:kern w:val="2"/>
          <w:sz w:val="28"/>
          <w:szCs w:val="28"/>
          <w:lang w:val="en-US" w:eastAsia="zh-CN" w:bidi="ar-SA"/>
        </w:rPr>
        <w:t>。</w:t>
      </w:r>
      <w:r>
        <w:rPr>
          <w:rFonts w:hint="default" w:ascii="宋体" w:hAnsi="宋体" w:eastAsia="宋体" w:cs="宋体"/>
          <w:bCs w:val="0"/>
          <w:color w:val="000000"/>
          <w:kern w:val="2"/>
          <w:sz w:val="28"/>
          <w:szCs w:val="28"/>
          <w:lang w:val="en-US" w:eastAsia="zh-CN" w:bidi="ar-SA"/>
        </w:rPr>
        <w:t>对学术不端行为实行</w:t>
      </w:r>
      <w:r>
        <w:rPr>
          <w:rFonts w:hint="eastAsia" w:ascii="宋体" w:hAnsi="宋体" w:eastAsia="宋体" w:cs="宋体"/>
          <w:bCs w:val="0"/>
          <w:color w:val="000000"/>
          <w:kern w:val="2"/>
          <w:sz w:val="28"/>
          <w:szCs w:val="28"/>
          <w:lang w:val="en-US" w:eastAsia="zh-CN" w:bidi="ar-SA"/>
        </w:rPr>
        <w:t>“</w:t>
      </w:r>
      <w:r>
        <w:rPr>
          <w:rFonts w:hint="default" w:ascii="宋体" w:hAnsi="宋体" w:eastAsia="宋体" w:cs="宋体"/>
          <w:bCs w:val="0"/>
          <w:color w:val="000000"/>
          <w:kern w:val="2"/>
          <w:sz w:val="28"/>
          <w:szCs w:val="28"/>
          <w:lang w:val="en-US" w:eastAsia="zh-CN" w:bidi="ar-SA"/>
        </w:rPr>
        <w:t>零容忍</w:t>
      </w:r>
      <w:r>
        <w:rPr>
          <w:rFonts w:hint="eastAsia" w:ascii="宋体" w:hAnsi="宋体" w:eastAsia="宋体" w:cs="宋体"/>
          <w:bCs w:val="0"/>
          <w:color w:val="000000"/>
          <w:kern w:val="2"/>
          <w:sz w:val="28"/>
          <w:szCs w:val="28"/>
          <w:lang w:val="en-US" w:eastAsia="zh-CN" w:bidi="ar-SA"/>
        </w:rPr>
        <w:t>”，</w:t>
      </w:r>
      <w:r>
        <w:rPr>
          <w:rFonts w:hint="default" w:ascii="宋体" w:hAnsi="宋体" w:eastAsia="宋体" w:cs="宋体"/>
          <w:bCs w:val="0"/>
          <w:color w:val="000000"/>
          <w:kern w:val="2"/>
          <w:sz w:val="28"/>
          <w:szCs w:val="28"/>
          <w:lang w:val="en-US" w:eastAsia="zh-CN" w:bidi="ar-SA"/>
        </w:rPr>
        <w:t>建立学术不端行为档案库。</w:t>
      </w:r>
      <w:r>
        <w:rPr>
          <w:rFonts w:hint="eastAsia" w:ascii="宋体" w:hAnsi="宋体" w:eastAsia="宋体" w:cs="宋体"/>
          <w:bCs w:val="0"/>
          <w:color w:val="000000"/>
          <w:kern w:val="2"/>
          <w:sz w:val="28"/>
          <w:szCs w:val="28"/>
          <w:lang w:val="en-US" w:eastAsia="zh-CN" w:bidi="ar-SA"/>
        </w:rPr>
        <w:t>2023年开展科学道德和学术规范教育</w:t>
      </w:r>
      <w:r>
        <w:rPr>
          <w:rFonts w:hint="eastAsia" w:ascii="宋体" w:hAnsi="宋体" w:eastAsia="宋体" w:cs="宋体"/>
          <w:bCs w:val="0"/>
          <w:color w:val="auto"/>
          <w:kern w:val="2"/>
          <w:sz w:val="28"/>
          <w:szCs w:val="28"/>
          <w:lang w:val="en-US" w:eastAsia="zh-CN" w:bidi="ar-SA"/>
        </w:rPr>
        <w:t>培训10余次，共参与学生和导师6000人次，保证了</w:t>
      </w:r>
      <w:r>
        <w:rPr>
          <w:rFonts w:hint="eastAsia" w:ascii="宋体" w:hAnsi="宋体" w:eastAsia="宋体" w:cs="宋体"/>
          <w:bCs w:val="0"/>
          <w:color w:val="000000"/>
          <w:kern w:val="2"/>
          <w:sz w:val="28"/>
          <w:szCs w:val="28"/>
          <w:lang w:val="en-US" w:eastAsia="zh-CN" w:bidi="ar-SA"/>
        </w:rPr>
        <w:t>学位点学术不端零发生。</w:t>
      </w:r>
    </w:p>
    <w:p w14:paraId="4101C840">
      <w:pPr>
        <w:spacing w:line="240" w:lineRule="auto"/>
        <w:ind w:firstLine="562" w:firstLineChars="200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kern w:val="2"/>
          <w:sz w:val="28"/>
          <w:szCs w:val="28"/>
          <w:lang w:val="en-US" w:eastAsia="zh-CN" w:bidi="ar-SA"/>
        </w:rPr>
        <w:t>5.2.8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管理服务</w:t>
      </w:r>
    </w:p>
    <w:p w14:paraId="4A0137B8">
      <w:pPr>
        <w:spacing w:line="240" w:lineRule="auto"/>
        <w:ind w:firstLine="562" w:firstLineChars="200"/>
        <w:rPr>
          <w:rFonts w:hint="default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（1）专职管理人员配备</w:t>
      </w:r>
    </w:p>
    <w:p w14:paraId="7835484E">
      <w:pPr>
        <w:spacing w:line="240" w:lineRule="auto"/>
        <w:ind w:firstLine="560" w:firstLineChars="200"/>
        <w:rPr>
          <w:rFonts w:hint="default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遵循</w:t>
      </w:r>
      <w: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  <w:t>“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党委领导</w:t>
      </w:r>
      <w: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党政结合</w:t>
      </w:r>
      <w: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教育与管理并重</w:t>
      </w:r>
      <w: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统一协调</w:t>
      </w:r>
      <w: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齐抓共管</w:t>
      </w:r>
      <w: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  <w:t>”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三原则，建立和完善研究生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专职管理人员队伍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。研究生在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6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个院部管理，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各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院部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设置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负责研究生工作的副书记和副院长</w:t>
      </w:r>
      <w: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以及专职研究生管理人员，能够及时解决学生问题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。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2023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年未出现任何教学管理及其他责任事故。</w:t>
      </w:r>
    </w:p>
    <w:p w14:paraId="6ACF6F73">
      <w:pPr>
        <w:spacing w:line="240" w:lineRule="auto"/>
        <w:ind w:firstLine="562" w:firstLineChars="200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2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研究生权益保障制度完善</w:t>
      </w:r>
    </w:p>
    <w:p w14:paraId="66336212">
      <w:pPr>
        <w:pageBreakBefore w:val="0"/>
        <w:kinsoku/>
        <w:wordWrap/>
        <w:overflowPunct/>
        <w:topLinePunct w:val="0"/>
        <w:bidi w:val="0"/>
        <w:snapToGrid/>
        <w:spacing w:line="240" w:lineRule="auto"/>
        <w:ind w:firstLine="562" w:firstLineChars="200"/>
        <w:textAlignment w:val="auto"/>
        <w:rPr>
          <w:rFonts w:hint="eastAsia"/>
          <w:lang w:val="en-US" w:eastAsia="zh-CN"/>
        </w:rPr>
      </w:pPr>
      <w:r>
        <w:rPr>
          <w:rFonts w:hint="default" w:ascii="宋体" w:hAnsi="宋体" w:eastAsia="宋体" w:cs="宋体"/>
          <w:b/>
          <w:bCs/>
          <w:sz w:val="28"/>
          <w:szCs w:val="28"/>
          <w:lang w:eastAsia="zh-CN"/>
        </w:rPr>
        <w:t>①</w:t>
      </w:r>
      <w:r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  <w:t>制度保障体系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。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严格执行大学制定</w:t>
      </w:r>
      <w:r>
        <w:rPr>
          <w:rFonts w:hint="default" w:ascii="宋体" w:hAnsi="宋体" w:eastAsia="宋体" w:cs="宋体"/>
          <w:sz w:val="28"/>
          <w:szCs w:val="28"/>
          <w:lang w:val="en-US" w:eastAsia="zh-CN"/>
        </w:rPr>
        <w:t>的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有关研究生培养和</w:t>
      </w:r>
      <w:r>
        <w:rPr>
          <w:rFonts w:hint="default" w:ascii="宋体" w:hAnsi="宋体" w:eastAsia="宋体" w:cs="宋体"/>
          <w:sz w:val="28"/>
          <w:szCs w:val="28"/>
          <w:lang w:val="en-US" w:eastAsia="zh-CN"/>
        </w:rPr>
        <w:t>质量管理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多项</w:t>
      </w:r>
      <w:r>
        <w:rPr>
          <w:rFonts w:hint="default" w:ascii="宋体" w:hAnsi="宋体" w:eastAsia="宋体" w:cs="宋体"/>
          <w:sz w:val="28"/>
          <w:szCs w:val="28"/>
          <w:lang w:val="en-US" w:eastAsia="zh-CN"/>
        </w:rPr>
        <w:t>制度文件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；</w:t>
      </w:r>
      <w:r>
        <w:rPr>
          <w:rFonts w:hint="default" w:ascii="宋体" w:hAnsi="宋体" w:eastAsia="宋体" w:cs="宋体"/>
          <w:sz w:val="28"/>
          <w:szCs w:val="28"/>
          <w:lang w:val="en-US" w:eastAsia="zh-CN"/>
        </w:rPr>
        <w:t>建立质量信息反馈与持续改进机制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；</w:t>
      </w:r>
      <w:r>
        <w:rPr>
          <w:rFonts w:hint="default" w:ascii="宋体" w:hAnsi="宋体" w:eastAsia="宋体" w:cs="宋体"/>
          <w:sz w:val="28"/>
          <w:szCs w:val="28"/>
          <w:lang w:val="en-US" w:eastAsia="zh-CN"/>
        </w:rPr>
        <w:t>实行质量事故责任追究制度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，保障了研究生的权利。</w:t>
      </w:r>
      <w:r>
        <w:rPr>
          <w:rFonts w:hint="default" w:ascii="宋体" w:hAnsi="宋体" w:eastAsia="宋体" w:cs="宋体"/>
          <w:b/>
          <w:bCs/>
          <w:sz w:val="28"/>
          <w:szCs w:val="28"/>
          <w:lang w:eastAsia="zh-CN"/>
        </w:rPr>
        <w:t>②</w:t>
      </w:r>
      <w:r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  <w:t>组织保障体系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。</w:t>
      </w:r>
      <w:r>
        <w:rPr>
          <w:rFonts w:hint="default" w:ascii="宋体" w:hAnsi="宋体" w:eastAsia="宋体" w:cs="宋体"/>
          <w:sz w:val="28"/>
          <w:szCs w:val="28"/>
          <w:lang w:val="en-US" w:eastAsia="zh-CN"/>
        </w:rPr>
        <w:t>成立学位评定分委员会，负责质量监督；设立质量监控办公室，开展日常检查；组建校外专家督导组，进行第三方评估。</w:t>
      </w:r>
      <w:r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  <w:t>③技术保障体系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。</w:t>
      </w:r>
      <w:r>
        <w:rPr>
          <w:rFonts w:hint="default" w:ascii="宋体" w:hAnsi="宋体" w:eastAsia="宋体" w:cs="宋体"/>
          <w:sz w:val="28"/>
          <w:szCs w:val="28"/>
          <w:lang w:val="en-US" w:eastAsia="zh-CN"/>
        </w:rPr>
        <w:t>建设研究生教育管理信息系统，实现全过程信息化管理；引入学位论文相似性检测系统，严把学术诚信关。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fldChar w:fldCharType="begin"/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instrText xml:space="preserve"> = 4 \* GB3 \* MERGEFORMAT </w:instrTex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fldChar w:fldCharType="separate"/>
      </w:r>
      <w:r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  <w:t>④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fldChar w:fldCharType="end"/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心理健康保障：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进行入学心理测评，建立心理辅导站，注重学生心理健康，发现问题及时针对处理并长期追踪观察。</w:t>
      </w:r>
    </w:p>
    <w:p w14:paraId="2B3D8B47">
      <w:pPr>
        <w:spacing w:line="240" w:lineRule="auto"/>
        <w:ind w:firstLine="562" w:firstLineChars="200"/>
        <w:rPr>
          <w:rFonts w:hint="eastAsia" w:ascii="宋体" w:hAnsi="宋体" w:eastAsia="宋体" w:cs="宋体"/>
          <w:b/>
          <w:bCs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8"/>
          <w:szCs w:val="28"/>
          <w:highlight w:val="none"/>
          <w:lang w:val="en-US" w:eastAsia="zh-CN" w:bidi="ar-SA"/>
        </w:rPr>
        <w:t>（3）在学研究生满意度</w:t>
      </w:r>
    </w:p>
    <w:p w14:paraId="2FE7A679">
      <w:pPr>
        <w:spacing w:line="240" w:lineRule="auto"/>
        <w:ind w:firstLine="560" w:firstLineChars="200"/>
        <w:rPr>
          <w:rFonts w:hint="eastAsia" w:ascii="宋体" w:hAnsi="宋体" w:eastAsia="宋体" w:cs="宋体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highlight w:val="none"/>
          <w:lang w:val="en-US" w:eastAsia="zh-CN" w:bidi="ar-SA"/>
        </w:rPr>
        <w:t>学位点对学术学位博士研究生进行满意度调查，大部分研究生对研究生教育培养、管理服务、所学专业和研究方向的总体评价满意，满意度分别</w:t>
      </w:r>
      <w:r>
        <w:rPr>
          <w:rFonts w:hint="eastAsia" w:ascii="宋体" w:hAnsi="宋体" w:eastAsia="宋体" w:cs="宋体"/>
          <w:color w:val="auto"/>
          <w:kern w:val="2"/>
          <w:sz w:val="28"/>
          <w:szCs w:val="28"/>
          <w:highlight w:val="none"/>
          <w:lang w:val="en-US" w:eastAsia="zh-CN" w:bidi="ar-SA"/>
        </w:rPr>
        <w:t>为</w:t>
      </w:r>
      <w:r>
        <w:rPr>
          <w:rFonts w:hint="eastAsia" w:ascii="宋体" w:hAnsi="宋体" w:eastAsia="宋体" w:cs="宋体"/>
          <w:bCs w:val="0"/>
          <w:color w:val="auto"/>
          <w:kern w:val="2"/>
          <w:sz w:val="28"/>
          <w:szCs w:val="28"/>
          <w:lang w:val="en-US" w:eastAsia="zh-CN" w:bidi="ar-SA"/>
        </w:rPr>
        <w:t>98%、98%、100%</w:t>
      </w:r>
      <w:r>
        <w:rPr>
          <w:rFonts w:hint="eastAsia" w:ascii="宋体" w:hAnsi="宋体" w:eastAsia="宋体" w:cs="宋体"/>
          <w:kern w:val="2"/>
          <w:sz w:val="28"/>
          <w:szCs w:val="28"/>
          <w:highlight w:val="none"/>
          <w:lang w:val="en-US" w:eastAsia="zh-CN" w:bidi="ar-SA"/>
        </w:rPr>
        <w:t>。</w:t>
      </w:r>
    </w:p>
    <w:p w14:paraId="319A57B8">
      <w:pPr>
        <w:spacing w:line="240" w:lineRule="auto"/>
        <w:ind w:firstLine="562" w:firstLineChars="200"/>
        <w:rPr>
          <w:rFonts w:hint="eastAsia" w:ascii="宋体" w:hAnsi="宋体" w:eastAsia="宋体" w:cs="宋体"/>
          <w:b/>
          <w:bCs/>
          <w:color w:val="00000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color w:val="000000"/>
          <w:kern w:val="2"/>
          <w:sz w:val="28"/>
          <w:szCs w:val="28"/>
          <w:lang w:val="en-US" w:eastAsia="zh-CN" w:bidi="ar-SA"/>
        </w:rPr>
        <w:t>5.2.9</w:t>
      </w:r>
      <w:r>
        <w:rPr>
          <w:rFonts w:hint="eastAsia" w:ascii="宋体" w:hAnsi="宋体" w:eastAsia="宋体" w:cs="宋体"/>
          <w:b/>
          <w:bCs/>
          <w:color w:val="000000"/>
          <w:sz w:val="28"/>
          <w:szCs w:val="28"/>
        </w:rPr>
        <w:t>就业发展</w:t>
      </w:r>
    </w:p>
    <w:p w14:paraId="2CAD1481">
      <w:pPr>
        <w:spacing w:line="240" w:lineRule="auto"/>
        <w:ind w:firstLine="562" w:firstLineChars="200"/>
        <w:rPr>
          <w:rFonts w:hint="eastAsia" w:ascii="宋体" w:hAnsi="宋体" w:eastAsia="宋体" w:cs="宋体"/>
          <w:b/>
          <w:bCs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8"/>
          <w:szCs w:val="28"/>
          <w:highlight w:val="none"/>
          <w:lang w:val="en-US" w:eastAsia="zh-CN" w:bidi="ar-SA"/>
        </w:rPr>
        <w:t>（1）人才需求与就业动态反馈机制建立情况</w:t>
      </w:r>
    </w:p>
    <w:p w14:paraId="7870DBAF">
      <w:pPr>
        <w:spacing w:line="240" w:lineRule="auto"/>
        <w:ind w:firstLine="560" w:firstLineChars="200"/>
        <w:rPr>
          <w:rFonts w:hint="eastAsia" w:ascii="宋体" w:hAnsi="宋体" w:eastAsia="宋体" w:cs="宋体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highlight w:val="none"/>
          <w:lang w:val="en-US" w:eastAsia="zh-CN" w:bidi="ar-SA"/>
        </w:rPr>
        <w:t>学位点定期携手行业协会、医疗机构等，深入调研中医药领域的人才需求变化。2023年博士研究生实现100% 就业率，毕业生主要入职高等院校及医疗卫生单位，彰显人才培养与市场需求的高度契合。</w:t>
      </w:r>
    </w:p>
    <w:p w14:paraId="7C4F59BD">
      <w:pPr>
        <w:spacing w:line="240" w:lineRule="auto"/>
        <w:jc w:val="center"/>
        <w:rPr>
          <w:rFonts w:hint="eastAsia" w:ascii="宋体" w:hAnsi="宋体" w:eastAsia="宋体" w:cs="宋体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3934460" cy="2686685"/>
            <wp:effectExtent l="0" t="0" r="8890" b="18415"/>
            <wp:docPr id="1" name="图片 1" descr="就业状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就业状况"/>
                    <pic:cNvPicPr>
                      <a:picLocks noChangeAspect="1"/>
                    </pic:cNvPicPr>
                  </pic:nvPicPr>
                  <pic:blipFill>
                    <a:blip r:embed="rId11"/>
                    <a:srcRect l="12308" t="11385" r="11391" b="51790"/>
                    <a:stretch>
                      <a:fillRect/>
                    </a:stretch>
                  </pic:blipFill>
                  <pic:spPr>
                    <a:xfrm>
                      <a:off x="0" y="0"/>
                      <a:ext cx="3934460" cy="268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B16D5">
      <w:pPr>
        <w:spacing w:line="240" w:lineRule="auto"/>
        <w:ind w:firstLine="562" w:firstLineChars="200"/>
        <w:rPr>
          <w:rFonts w:hint="eastAsia" w:ascii="宋体" w:hAnsi="宋体" w:eastAsia="宋体" w:cs="宋体"/>
          <w:b/>
          <w:bCs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8"/>
          <w:szCs w:val="28"/>
          <w:highlight w:val="none"/>
          <w:lang w:val="en-US" w:eastAsia="zh-CN" w:bidi="ar-SA"/>
        </w:rPr>
        <w:t>（2）构建全方位就业指导体系</w:t>
      </w:r>
    </w:p>
    <w:p w14:paraId="6335A0F1">
      <w:pPr>
        <w:spacing w:line="240" w:lineRule="auto"/>
        <w:ind w:firstLine="560" w:firstLineChars="200"/>
        <w:rPr>
          <w:rFonts w:hint="eastAsia" w:ascii="宋体" w:hAnsi="宋体" w:eastAsia="宋体" w:cs="宋体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highlight w:val="none"/>
          <w:lang w:val="en-US" w:eastAsia="zh-CN" w:bidi="ar-SA"/>
        </w:rPr>
        <w:t>为提升研究生就业竞争力，我院建立了全方位的就业指导体系。首先，学院定期邀请行业专家、优秀校友及企业开展就业讲座与经验分享会，帮助学生了解行业动态与就业趋势。其次，学院开设职业规划课程，涵盖简历撰写、面试技巧、职场礼仪等内容，并通过模拟面试、一对一辅导等形式，提升学生的求职技能。此外，学院还建立了就业信息平台，实时发布招聘信息、实习机会及就业政策，确保学生能够及时获取最新资讯。通过系统化的指导，帮助学生明确职业目标，增强求职信心。</w:t>
      </w:r>
    </w:p>
    <w:p w14:paraId="77093DA0">
      <w:pPr>
        <w:spacing w:line="240" w:lineRule="auto"/>
        <w:ind w:firstLine="562" w:firstLineChars="200"/>
        <w:rPr>
          <w:rFonts w:hint="eastAsia" w:ascii="宋体" w:hAnsi="宋体" w:eastAsia="宋体" w:cs="宋体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8"/>
          <w:szCs w:val="28"/>
          <w:highlight w:val="none"/>
          <w:lang w:val="en-US" w:eastAsia="zh-CN" w:bidi="ar-SA"/>
        </w:rPr>
        <w:t>（3）深化校企合作，拓宽就业渠道</w:t>
      </w:r>
    </w:p>
    <w:p w14:paraId="4F03E8B8">
      <w:pPr>
        <w:spacing w:line="240" w:lineRule="auto"/>
        <w:ind w:firstLine="560" w:firstLineChars="200"/>
        <w:rPr>
          <w:rFonts w:hint="eastAsia" w:ascii="宋体" w:hAnsi="宋体" w:eastAsia="宋体" w:cs="宋体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highlight w:val="none"/>
          <w:lang w:val="en-US" w:eastAsia="zh-CN" w:bidi="ar-SA"/>
        </w:rPr>
        <w:t>为拓宽研究生就业渠道，我院积极深化校企合作。一方面，学院与多家知名企业建立长期合作关系，定期举办专场招聘会,为学生提供与企业面对面交流的机会。另一方面，学院推动产学研结合，鼓励学生参与企业项目或实习，提升实践能力。同时，学院还设立了“校企联合培养基地”，通过定制化培养方案，为企业输送符合需求的高素质人才。通过多层次的校企合作，有效提升了学生的就业选择空间。</w:t>
      </w:r>
    </w:p>
    <w:p w14:paraId="0F41110B">
      <w:pPr>
        <w:spacing w:line="240" w:lineRule="auto"/>
        <w:ind w:firstLine="562" w:firstLineChars="200"/>
        <w:rPr>
          <w:rFonts w:hint="eastAsia" w:ascii="宋体" w:hAnsi="宋体" w:eastAsia="宋体" w:cs="宋体"/>
          <w:b/>
          <w:bCs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8"/>
          <w:szCs w:val="28"/>
          <w:highlight w:val="none"/>
          <w:lang w:val="en-US" w:eastAsia="zh-CN" w:bidi="ar-SA"/>
        </w:rPr>
        <w:t>（4）加强就业心理辅导与跟踪服务</w:t>
      </w:r>
    </w:p>
    <w:p w14:paraId="5E239A87">
      <w:pPr>
        <w:spacing w:line="240" w:lineRule="auto"/>
        <w:ind w:firstLine="560" w:firstLineChars="200"/>
        <w:rPr>
          <w:rFonts w:hint="eastAsia" w:ascii="宋体" w:hAnsi="宋体" w:eastAsia="宋体" w:cs="仿宋"/>
          <w:b/>
          <w:bCs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kern w:val="2"/>
          <w:sz w:val="28"/>
          <w:szCs w:val="28"/>
          <w:highlight w:val="none"/>
          <w:lang w:val="en-US" w:eastAsia="zh-CN" w:bidi="ar-SA"/>
        </w:rPr>
        <w:t>针对研究生在求职过程中可能面临的压力与困惑，我院特别加强了就业心理辅导与跟踪服务。学院设立了就业心理咨询室，聘请专业心理咨询师为学生提供心理疏导，帮助学生缓解焦虑情绪，树立积极心态。同时，学院建立了毕业生就业跟踪机制，定期回访已就业学生，了解其职业发展状况，并收集用人单位反馈，为改进就业工作提供依据。对于未就业或就业困难的学生，学院提供个性化帮扶，如推荐岗位、技能培训等，确保每位学生都能顺利实现就业目标。通过全方位的支持与服务，学院致力于为学生营造良好的就业环境，助力其职业发展。</w:t>
      </w:r>
    </w:p>
    <w:p w14:paraId="7CEDB253">
      <w:pPr>
        <w:numPr>
          <w:ilvl w:val="0"/>
          <w:numId w:val="0"/>
        </w:numPr>
        <w:spacing w:line="240" w:lineRule="auto"/>
        <w:ind w:firstLine="562" w:firstLineChars="200"/>
        <w:jc w:val="both"/>
        <w:rPr>
          <w:rFonts w:hint="eastAsia" w:ascii="宋体" w:hAnsi="宋体" w:eastAsia="宋体" w:cs="仿宋"/>
          <w:b/>
          <w:bCs/>
          <w:sz w:val="28"/>
          <w:szCs w:val="28"/>
        </w:rPr>
      </w:pPr>
      <w:r>
        <w:rPr>
          <w:rFonts w:hint="eastAsia" w:ascii="宋体" w:hAnsi="宋体" w:eastAsia="宋体" w:cs="仿宋"/>
          <w:b/>
          <w:bCs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仿宋"/>
          <w:b/>
          <w:bCs/>
          <w:sz w:val="28"/>
          <w:szCs w:val="28"/>
          <w:lang w:val="en-US" w:eastAsia="zh-CN"/>
        </w:rPr>
        <w:t>六</w:t>
      </w:r>
      <w:r>
        <w:rPr>
          <w:rFonts w:hint="eastAsia" w:ascii="宋体" w:hAnsi="宋体" w:eastAsia="宋体" w:cs="仿宋"/>
          <w:b/>
          <w:bCs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仿宋"/>
          <w:b/>
          <w:bCs/>
          <w:sz w:val="28"/>
          <w:szCs w:val="28"/>
        </w:rPr>
        <w:t>研究</w:t>
      </w:r>
      <w:r>
        <w:rPr>
          <w:rFonts w:hint="eastAsia" w:ascii="宋体" w:hAnsi="宋体" w:eastAsia="宋体" w:cs="仿宋"/>
          <w:b/>
          <w:bCs/>
          <w:sz w:val="28"/>
          <w:szCs w:val="28"/>
          <w:lang w:val="en-US" w:eastAsia="zh-CN"/>
        </w:rPr>
        <w:t>生</w:t>
      </w:r>
      <w:r>
        <w:rPr>
          <w:rFonts w:hint="eastAsia" w:ascii="宋体" w:hAnsi="宋体" w:eastAsia="宋体" w:cs="仿宋"/>
          <w:b/>
          <w:bCs/>
          <w:sz w:val="28"/>
          <w:szCs w:val="28"/>
        </w:rPr>
        <w:t>的党建与思政教育</w:t>
      </w:r>
    </w:p>
    <w:p w14:paraId="3A849365">
      <w:pPr>
        <w:spacing w:line="240" w:lineRule="auto"/>
        <w:ind w:firstLine="560" w:firstLineChars="200"/>
        <w:rPr>
          <w:rFonts w:hint="eastAsia" w:ascii="宋体" w:hAnsi="宋体" w:eastAsia="宋体" w:cs="宋体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highlight w:val="none"/>
          <w:lang w:val="en-US" w:eastAsia="zh-CN" w:bidi="ar-SA"/>
        </w:rPr>
        <w:t>学科坚持把“思政合一”作为教育根本任务，紧贴新时代改革教育思想，把立德树人融入研究生思想政治教育管理全过程，丛党建引领、思想淬炼、文化浸润、实践提升、全员协同等五个维度。不断加强研究生思想政治教育，确保研究生思政教育工作正常开展。</w:t>
      </w:r>
    </w:p>
    <w:p w14:paraId="1207FBCC">
      <w:pPr>
        <w:spacing w:line="240" w:lineRule="auto"/>
        <w:ind w:firstLine="562" w:firstLineChars="200"/>
        <w:rPr>
          <w:rFonts w:hint="eastAsia" w:ascii="宋体" w:hAnsi="宋体" w:eastAsia="宋体" w:cs="宋体"/>
          <w:b/>
          <w:bCs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8"/>
          <w:szCs w:val="28"/>
          <w:highlight w:val="none"/>
          <w:lang w:val="en-US" w:eastAsia="zh-CN" w:bidi="ar-SA"/>
        </w:rPr>
        <w:t>6.1强化党团引领，筑牢信念根基</w:t>
      </w:r>
    </w:p>
    <w:p w14:paraId="7C1F85AA">
      <w:pPr>
        <w:spacing w:line="240" w:lineRule="auto"/>
        <w:ind w:firstLine="560" w:firstLineChars="200"/>
        <w:rPr>
          <w:rFonts w:hint="eastAsia" w:ascii="宋体" w:hAnsi="宋体" w:eastAsia="宋体" w:cs="宋体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highlight w:val="none"/>
          <w:lang w:val="en-US" w:eastAsia="zh-CN" w:bidi="ar-SA"/>
        </w:rPr>
        <w:t>坚守舆论阵地。通过讲座、会议会等多种形式组织研究生党员开展一系列爱国教育活动；强化党纪党规专题学习，不断推进党纪学习教育走实走深，组织我院研究生参加党课培训，让广大研究生深入了解党的先进理论；积极开展相关团务工作，包括团员发展工作，统计团员信息，收缴团费，团关系转接等，自觉提升精神境界，增强我院研究生的社会责任感与使命感，为早日加入党组织打好思想和理论基础。</w:t>
      </w:r>
    </w:p>
    <w:p w14:paraId="7744E3EE">
      <w:pPr>
        <w:spacing w:line="240" w:lineRule="auto"/>
        <w:ind w:firstLine="560" w:firstLineChars="200"/>
        <w:rPr>
          <w:rFonts w:hint="eastAsia" w:ascii="宋体" w:hAnsi="宋体" w:eastAsia="宋体" w:cs="宋体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highlight w:val="none"/>
          <w:lang w:val="en-US" w:eastAsia="zh-CN" w:bidi="ar-SA"/>
        </w:rPr>
        <w:t>在党建思想引领下，举办学术研讨会，营造良好的学术氛围，聚合双方力量，积极促进“党学融合”交流。学院持续强化党政监督管理，加强党政教育引导，大力弘扬优良革命传统精神，规范思想建设行为，举办党政学风建设主题讲座，进一步强化广大师生的党政意识，扎实构建诚实守信的科研生态环境；举办研究生科研创新论坛，促进不同学科交流融合，为提升学院青年人才培养质量打下了坚实基础；另外，学院定期邀请海内外的优秀教师为研究生做报告，帮助学生们了解到国内外最新的研究成果和前沿进展，并就各自学科发展情况、党支部建设情况进行了深入的交流学习。在为临床提供诊疗依据、提高医疗水平等方面具有重要意义，通过此次活动定能推动双方学术交流进一步深化、学科发展进一步提升。</w:t>
      </w:r>
    </w:p>
    <w:p w14:paraId="1B407AE5">
      <w:pPr>
        <w:spacing w:line="240" w:lineRule="auto"/>
        <w:ind w:firstLine="562" w:firstLineChars="200"/>
        <w:rPr>
          <w:rFonts w:hint="eastAsia" w:ascii="宋体" w:hAnsi="宋体" w:eastAsia="宋体" w:cs="宋体"/>
          <w:b/>
          <w:bCs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8"/>
          <w:szCs w:val="28"/>
          <w:highlight w:val="none"/>
          <w:lang w:val="en-US" w:eastAsia="zh-CN" w:bidi="ar-SA"/>
        </w:rPr>
        <w:t>6.2坚持守正创新，加强思想政治活动建设</w:t>
      </w:r>
    </w:p>
    <w:p w14:paraId="2FF1C9C0">
      <w:pPr>
        <w:spacing w:line="240" w:lineRule="auto"/>
        <w:ind w:firstLine="560" w:firstLineChars="200"/>
        <w:rPr>
          <w:rFonts w:hint="eastAsia" w:ascii="宋体" w:hAnsi="宋体" w:eastAsia="宋体" w:cs="宋体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highlight w:val="none"/>
          <w:lang w:val="en-US" w:eastAsia="zh-CN" w:bidi="ar-SA"/>
        </w:rPr>
        <w:t>不断探索思政教育形式创新。为增强思政教育的亲和力和实效性，在关注研究生科研、思想工作的同时，也积极开展形式多样的文艺活动丰富研究生们的生活，采用“讲思政课+红色歌剧表演”形式，为研究生上好“学习第一课”，受到我校广泛研究生广泛关注，取得较好反响。本年度创新开展了2023年线上春晚活动，观看人数500余人次；2023年4月份经典诵读大赛，参与人数186人；七一晚会，组织拍摄研究生行为规范视频，该视频通过手机媒体，播放5400余次，转发 270余次。“学医这些年教会我的事”主题征文活动，征得56篇优秀文章。通过文艺呈现形式，开展党建教育活动。让党的光辉历史与先进理论相结合从“台上”来到“台下”，从“理论”走向“实践”，用“小节目”讲“大道理”。这种创新的党课形式，让大家更加深刻地理解了党的精神内涵，增强了对党的认同感和归属感。文艺党课是创新党员教育形式的重要举措，有助于激发党员群众的学习热情，增强党性修养。我们将以此次活动为契机，进一步坚定理想信念，传承红色基因，立足岗位，勇于担当，为我校研究生高质量发展贡献力量。</w:t>
      </w:r>
    </w:p>
    <w:p w14:paraId="3984D206">
      <w:pPr>
        <w:spacing w:line="240" w:lineRule="auto"/>
        <w:ind w:firstLine="560" w:firstLineChars="200"/>
        <w:rPr>
          <w:rFonts w:hint="eastAsia" w:ascii="宋体" w:hAnsi="宋体" w:eastAsia="宋体" w:cs="宋体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highlight w:val="none"/>
          <w:lang w:val="en-US" w:eastAsia="zh-CN" w:bidi="ar-SA"/>
        </w:rPr>
        <w:t>强化党建引领，织密师生健身网络，将体育工作融入党建引领网格化治理。文明其精神，强健其体魄。开展体育竞赛活动不仅可以强健体魄，拓宽研究生党建思路，更加强了党员的学习和交流。通过广泛开展体育活动，科学健身理念深入人心，师生健身运动情况向纵深发展，展现出中华民族昂扬向上的精神风貌。2023年以来，举办春季趣味运动会，共参与370余人次，文体心理健康活动月10余项运动比赛，共计参与240余人次，组织兵棋推演等活动，参与40余人次。活动得到研究生们的热烈支持，共计参与600余人次。</w:t>
      </w:r>
    </w:p>
    <w:p w14:paraId="65F41186">
      <w:pPr>
        <w:spacing w:line="240" w:lineRule="auto"/>
        <w:ind w:firstLine="562" w:firstLineChars="200"/>
        <w:rPr>
          <w:rFonts w:hint="eastAsia" w:ascii="宋体" w:hAnsi="宋体" w:eastAsia="宋体" w:cs="宋体"/>
          <w:b/>
          <w:bCs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8"/>
          <w:szCs w:val="28"/>
          <w:highlight w:val="none"/>
          <w:lang w:val="en-US" w:eastAsia="zh-CN" w:bidi="ar-SA"/>
        </w:rPr>
        <w:t>6.3选树典型，朋辈引领点亮明灯</w:t>
      </w:r>
    </w:p>
    <w:p w14:paraId="38360F88">
      <w:pPr>
        <w:spacing w:line="240" w:lineRule="auto"/>
        <w:ind w:firstLine="560" w:firstLineChars="200"/>
        <w:rPr>
          <w:rFonts w:hint="eastAsia" w:ascii="宋体" w:hAnsi="宋体" w:eastAsia="宋体" w:cs="宋体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highlight w:val="none"/>
          <w:lang w:val="en-US" w:eastAsia="zh-CN" w:bidi="ar-SA"/>
        </w:rPr>
        <w:t>本年度创新开展了：“心历栉风沐雨，希冀光风霁月”、巧手制贺卡，新春送祝福——DIY贺卡活动、春季趣味运动会 、文体心理健康活动月——“研”路青春，健康同行、“纸鸢绘梦，筝筝日上”手绘风筝设计大赛等党建主题团体心理辅导活动，活动共计参与570余人次。这一系列精心策划的针对性心理访谈活动，极大的丰富了研究生们的生活，提高了大家的思想政治文化探讨能力，记录了学医这些年过程中的美好，记录思政点滴生活；这些活动的成功举办，不仅是对获奖者个人努力的肯定，更是对全体研究生思想政治上的激励和引领，鼓励全体研究生以更加饱满的热情和坚定的信念，不仅让成员之间有更加深入的了解，也使大家在自身优点的总结中进行自我赋能，增进党政归属感和向心力。这些种子在学院“承古拓新”文化的滋养下生根发芽，将引导更多研究生努力成长为适应党和国家发展需要、培养一大批具备国际视野和创新能力的新时代人才，实现中华民族伟大复兴的中国梦贡献青春力量。</w:t>
      </w:r>
    </w:p>
    <w:p w14:paraId="27BE234D">
      <w:pPr>
        <w:spacing w:line="240" w:lineRule="auto"/>
        <w:ind w:firstLine="562" w:firstLineChars="200"/>
        <w:rPr>
          <w:rFonts w:hint="eastAsia" w:ascii="宋体" w:hAnsi="宋体" w:eastAsia="宋体" w:cs="宋体"/>
          <w:b/>
          <w:bCs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8"/>
          <w:szCs w:val="28"/>
          <w:highlight w:val="none"/>
          <w:lang w:val="en-US" w:eastAsia="zh-CN" w:bidi="ar-SA"/>
        </w:rPr>
        <w:t>6.4弘扬中医文化，传承中华国粹</w:t>
      </w:r>
    </w:p>
    <w:p w14:paraId="6F363AA5">
      <w:pPr>
        <w:spacing w:line="240" w:lineRule="auto"/>
        <w:ind w:firstLine="560" w:firstLineChars="200"/>
        <w:rPr>
          <w:rFonts w:hint="eastAsia" w:ascii="宋体" w:hAnsi="宋体" w:eastAsia="宋体" w:cs="宋体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highlight w:val="none"/>
          <w:lang w:val="en-US" w:eastAsia="zh-CN" w:bidi="ar-SA"/>
        </w:rPr>
        <w:t>中医药文化是中华民族优秀传统文化的瑰宝，是打开中华文明宝库的钥匙。党建如同明亮的灯塔，为中草药文化传承指引方向。</w:t>
      </w:r>
    </w:p>
    <w:p w14:paraId="009DF110">
      <w:pPr>
        <w:spacing w:line="240" w:lineRule="auto"/>
        <w:ind w:firstLine="560" w:firstLineChars="200"/>
        <w:rPr>
          <w:rFonts w:hint="eastAsia" w:ascii="宋体" w:hAnsi="宋体" w:eastAsia="宋体" w:cs="宋体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highlight w:val="none"/>
          <w:lang w:val="en-US" w:eastAsia="zh-CN" w:bidi="ar-SA"/>
        </w:rPr>
        <w:t>积极响应党和国家对于高等教育质量提升与党建思想培育的号召。通过走进社区、乡村、校园，开展中医药文化宣传等活动，尤其是创新了“中医药文化进校园”形式，与郑州经开区第六中学、外国语小学、泰和小学和黄河路二小、河南省实验鑫苑外语学校、郑州第九十中学等学校建立中医药文化进校园共建实践基地，根据不同年龄阶段设计、制作了一批中医药特色课堂，在与我院完成共建的中小学实践基地中，进行中医药文化宣讲100余次，服务8000余名师生。在长期探索实践过程中，让中医药文化在校园里生根发芽，为传承和弘扬中华优秀传统文化贡献力量。党建共建是强化基层党组织的重要举措。三方党支部要以此为契机，共同丰富中小学生的课外知识，树立科学的发展理念，为健康中国形成可复制、可推广的中医药文化教育推广新模式贡献自己的一份力量。</w:t>
      </w:r>
    </w:p>
    <w:p w14:paraId="13DF8DA5">
      <w:pPr>
        <w:spacing w:line="240" w:lineRule="auto"/>
        <w:ind w:firstLine="562" w:firstLineChars="200"/>
        <w:rPr>
          <w:rFonts w:hint="eastAsia" w:ascii="宋体" w:hAnsi="宋体" w:eastAsia="宋体" w:cs="宋体"/>
          <w:b/>
          <w:bCs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8"/>
          <w:szCs w:val="28"/>
          <w:highlight w:val="none"/>
          <w:lang w:val="en-US" w:eastAsia="zh-CN" w:bidi="ar-SA"/>
        </w:rPr>
        <w:t>6.5研究生项目培育历程</w:t>
      </w:r>
    </w:p>
    <w:p w14:paraId="27F51D0D">
      <w:pPr>
        <w:spacing w:line="240" w:lineRule="auto"/>
        <w:ind w:firstLine="560" w:firstLineChars="200"/>
        <w:rPr>
          <w:rFonts w:hint="eastAsia" w:ascii="宋体" w:hAnsi="宋体" w:eastAsia="宋体" w:cs="仿宋"/>
          <w:sz w:val="28"/>
          <w:szCs w:val="28"/>
        </w:rPr>
      </w:pPr>
      <w:r>
        <w:rPr>
          <w:rFonts w:hint="eastAsia" w:ascii="宋体" w:hAnsi="宋体" w:eastAsia="宋体" w:cs="宋体"/>
          <w:kern w:val="2"/>
          <w:sz w:val="28"/>
          <w:szCs w:val="28"/>
          <w:highlight w:val="none"/>
          <w:lang w:val="en-US" w:eastAsia="zh-CN" w:bidi="ar-SA"/>
        </w:rPr>
        <w:t>促进研究生教育教学改革，推动研究生教育高质量发展，推进教育数字化战略行动，提高人才培养质量。近年开展了研究生一流特色课程建设工作。经过为期三年的建设，2021年——2022年，举办“橄榄绿故事会”项目；七彩假期志愿服务项目。2022年——2023年，举办研究生会项目：“杏林春风入校园”中医药文化交流系列活动；研究生特色课题：中医药文化进校园的模式创新与实践；心里教育活动项目：“心历栉风沐雨，希冀光风霁月”心理健康活动；2023年度举办研究生思政教育品牌项目：“榜样”专题系列活动。项目通过聚焦研究生思政教育工作和人才培养目标，开展特色学术实践活动体系的探索与实践。项目秉承 “开放、共享、互动”的理念，结合学党建特色，积极通过搭建全方位、立体化的党建教学实践平台，打造“深井式”党建探讨和互动交流的第二课堂模式，营造优良的育人环境，助力研究生思想政治教育工作取得良好成效。</w:t>
      </w:r>
    </w:p>
    <w:p w14:paraId="3F14024A">
      <w:pPr>
        <w:numPr>
          <w:ilvl w:val="0"/>
          <w:numId w:val="0"/>
        </w:numPr>
        <w:spacing w:line="240" w:lineRule="auto"/>
        <w:ind w:firstLine="562" w:firstLineChars="200"/>
        <w:jc w:val="both"/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仿宋"/>
          <w:b/>
          <w:bCs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仿宋"/>
          <w:b/>
          <w:bCs/>
          <w:sz w:val="28"/>
          <w:szCs w:val="28"/>
          <w:lang w:val="en-US" w:eastAsia="zh-CN"/>
        </w:rPr>
        <w:t>七</w:t>
      </w:r>
      <w:r>
        <w:rPr>
          <w:rFonts w:hint="eastAsia" w:ascii="宋体" w:hAnsi="宋体" w:eastAsia="宋体" w:cs="仿宋"/>
          <w:b/>
          <w:bCs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仿宋"/>
          <w:b/>
          <w:bCs/>
          <w:sz w:val="28"/>
          <w:szCs w:val="28"/>
        </w:rPr>
        <w:t>服务社会</w:t>
      </w:r>
      <w:bookmarkEnd w:id="1"/>
    </w:p>
    <w:p w14:paraId="011E52FA">
      <w:pPr>
        <w:keepNext w:val="0"/>
        <w:keepLines w:val="0"/>
        <w:widowControl/>
        <w:suppressLineNumbers w:val="0"/>
        <w:spacing w:line="240" w:lineRule="auto"/>
        <w:ind w:firstLine="562" w:firstLineChars="200"/>
        <w:jc w:val="left"/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  <w:t>7.1科技进步</w:t>
      </w:r>
    </w:p>
    <w:p w14:paraId="37F9E0CE">
      <w:pPr>
        <w:keepNext w:val="0"/>
        <w:keepLines w:val="0"/>
        <w:widowControl/>
        <w:suppressLineNumbers w:val="0"/>
        <w:spacing w:line="240" w:lineRule="auto"/>
        <w:ind w:firstLine="562" w:firstLineChars="200"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  <w:t>服务生命健康，高水平研究成绩斐然。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学位点依托国家级平台、省级重点实验室，为高质量的中医药人才培养提供平台支撑；多个国家级重大科研项目的引领下，深入研究中医药现代化发展，促进中医药更好服务人民健康；牵头制定多项行业指南、标准，实现中医优势病种的规范化治疗、提高临床疗效；积极实现中药制剂相关的成果转化，如“益肺济生颗粒”、“健脾开胃消食丸”，提高病人的生活质量。</w:t>
      </w:r>
    </w:p>
    <w:p w14:paraId="7B18D90F">
      <w:pPr>
        <w:keepNext w:val="0"/>
        <w:keepLines w:val="0"/>
        <w:widowControl/>
        <w:suppressLineNumbers w:val="0"/>
        <w:spacing w:line="240" w:lineRule="auto"/>
        <w:ind w:firstLine="562" w:firstLineChars="200"/>
        <w:jc w:val="left"/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  <w:t>7.2经济发展</w:t>
      </w:r>
    </w:p>
    <w:p w14:paraId="23F84079">
      <w:pPr>
        <w:keepNext w:val="0"/>
        <w:keepLines w:val="0"/>
        <w:widowControl/>
        <w:suppressLineNumbers w:val="0"/>
        <w:spacing w:line="240" w:lineRule="auto"/>
        <w:ind w:firstLine="562" w:firstLineChars="200"/>
        <w:jc w:val="left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  <w:t>7.2.1</w:t>
      </w:r>
      <w:r>
        <w:rPr>
          <w:rFonts w:hint="default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  <w:t>投身多元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  <w:t>就业</w:t>
      </w:r>
      <w:r>
        <w:rPr>
          <w:rFonts w:hint="default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  <w:t>领域，彰显中医人才效能</w:t>
      </w:r>
    </w:p>
    <w:p w14:paraId="55F4EC92">
      <w:pPr>
        <w:keepNext w:val="0"/>
        <w:keepLines w:val="0"/>
        <w:widowControl/>
        <w:suppressLineNumbers w:val="0"/>
        <w:spacing w:line="240" w:lineRule="auto"/>
        <w:ind w:firstLine="560" w:firstLineChars="200"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学位点的建设紧密围绕国家重大发展战略和地方经济发展需求，培养了大批高素质、创新型中医药人才。这些人才不仅在中医药医疗、科研、教育等领域发挥重要作用，还通过产学研结合，推动中医药产业的高质量发展</w:t>
      </w:r>
      <w:r>
        <w:rPr>
          <w:rFonts w:hint="default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。通过与企业合作，建立产学研基地，促进科研成果转化，为地方经济发展提供了技术支持。</w:t>
      </w:r>
    </w:p>
    <w:p w14:paraId="3E02D849">
      <w:pPr>
        <w:keepNext w:val="0"/>
        <w:keepLines w:val="0"/>
        <w:widowControl/>
        <w:suppressLineNumbers w:val="0"/>
        <w:spacing w:line="240" w:lineRule="auto"/>
        <w:ind w:firstLine="562" w:firstLineChars="200"/>
        <w:jc w:val="left"/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  <w:t>7.2.2助力分级医疗改革，提升基层服务能力</w:t>
      </w:r>
    </w:p>
    <w:p w14:paraId="3128F3A9">
      <w:pPr>
        <w:keepNext w:val="0"/>
        <w:keepLines w:val="0"/>
        <w:widowControl/>
        <w:suppressLineNumbers w:val="0"/>
        <w:spacing w:line="240" w:lineRule="auto"/>
        <w:ind w:firstLine="560" w:firstLineChars="200"/>
        <w:jc w:val="left"/>
        <w:rPr>
          <w:rFonts w:hint="eastAsia" w:ascii="宋体" w:hAnsi="宋体" w:eastAsia="宋体" w:cs="宋体"/>
          <w:color w:val="auto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学位点建设所在的附属医院与4家托管医院、21家“专科共建”医院、2家帮扶医院共同成立了医疗集团，累计合作55家成员单位，派出259名长驻专家、124名巡诊专家，带动10家基层医院建成三级医院，成功申报7个省级重点专科，2家医院胸痛中心通过国家验收，托管医院病人转诊率从13.8%下降到2%以下，累积节约医保资金上亿元。</w:t>
      </w:r>
    </w:p>
    <w:p w14:paraId="0D7DF5B0">
      <w:pPr>
        <w:keepNext w:val="0"/>
        <w:keepLines w:val="0"/>
        <w:widowControl/>
        <w:suppressLineNumbers w:val="0"/>
        <w:spacing w:line="240" w:lineRule="auto"/>
        <w:ind w:firstLine="562" w:firstLineChars="200"/>
        <w:jc w:val="left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8"/>
          <w:lang w:val="en-US" w:eastAsia="zh-CN" w:bidi="ar"/>
        </w:rPr>
        <w:t>7.2.3积极参与疫情防治，研究成果彰显中医优势</w:t>
      </w:r>
    </w:p>
    <w:p w14:paraId="399C2091">
      <w:pPr>
        <w:pStyle w:val="8"/>
        <w:keepNext w:val="0"/>
        <w:keepLines w:val="0"/>
        <w:widowControl/>
        <w:suppressLineNumbers w:val="0"/>
        <w:spacing w:before="0" w:beforeAutospacing="0" w:after="0" w:afterAutospacing="0"/>
        <w:ind w:right="0" w:firstLine="560" w:firstLineChars="200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color w:val="auto"/>
          <w:kern w:val="0"/>
          <w:sz w:val="28"/>
          <w:szCs w:val="28"/>
          <w:lang w:val="en-US" w:eastAsia="zh-CN" w:bidi="ar"/>
        </w:rPr>
        <w:t>学位点教师和学生积极投身“抗疫”工作，</w:t>
      </w:r>
      <w:r>
        <w:rPr>
          <w:rFonts w:hint="default" w:ascii="宋体" w:hAnsi="宋体" w:eastAsia="宋体" w:cs="宋体"/>
          <w:bCs w:val="0"/>
          <w:color w:val="auto"/>
          <w:kern w:val="0"/>
          <w:sz w:val="28"/>
          <w:szCs w:val="28"/>
          <w:lang w:val="en-US" w:eastAsia="zh-CN" w:bidi="ar"/>
        </w:rPr>
        <w:t>组建中医医疗队，支援重点疫区</w:t>
      </w:r>
      <w:r>
        <w:rPr>
          <w:rFonts w:hint="eastAsia" w:ascii="宋体" w:hAnsi="宋体" w:eastAsia="宋体" w:cs="宋体"/>
          <w:color w:val="auto"/>
          <w:kern w:val="0"/>
          <w:sz w:val="28"/>
          <w:szCs w:val="28"/>
          <w:lang w:val="en-US" w:eastAsia="zh-CN" w:bidi="ar"/>
        </w:rPr>
        <w:t>疫情防控工作。</w:t>
      </w:r>
      <w:r>
        <w:rPr>
          <w:rFonts w:hint="eastAsia" w:ascii="宋体" w:hAnsi="宋体" w:eastAsia="宋体" w:cs="宋体"/>
          <w:bCs w:val="0"/>
          <w:color w:val="auto"/>
          <w:kern w:val="0"/>
          <w:sz w:val="28"/>
          <w:szCs w:val="28"/>
          <w:lang w:val="en-US" w:eastAsia="zh-CN" w:bidi="ar"/>
        </w:rPr>
        <w:t>中医药全程参与疫情防控，</w:t>
      </w:r>
      <w:r>
        <w:rPr>
          <w:rFonts w:hint="default" w:ascii="宋体" w:hAnsi="宋体" w:eastAsia="宋体" w:cs="宋体"/>
          <w:bCs w:val="0"/>
          <w:color w:val="auto"/>
          <w:kern w:val="0"/>
          <w:sz w:val="28"/>
          <w:szCs w:val="28"/>
          <w:lang w:val="en-US" w:eastAsia="zh-CN" w:bidi="ar"/>
        </w:rPr>
        <w:t>研制中药预防</w:t>
      </w:r>
      <w:r>
        <w:rPr>
          <w:rFonts w:hint="eastAsia" w:ascii="宋体" w:hAnsi="宋体" w:eastAsia="宋体" w:cs="宋体"/>
          <w:bCs w:val="0"/>
          <w:color w:val="auto"/>
          <w:kern w:val="0"/>
          <w:sz w:val="28"/>
          <w:szCs w:val="28"/>
          <w:lang w:val="en-US" w:eastAsia="zh-CN" w:bidi="ar"/>
        </w:rPr>
        <w:t>方剂</w:t>
      </w:r>
      <w:r>
        <w:rPr>
          <w:rFonts w:hint="default" w:ascii="宋体" w:hAnsi="宋体" w:eastAsia="宋体" w:cs="宋体"/>
          <w:bCs w:val="0"/>
          <w:color w:val="auto"/>
          <w:kern w:val="0"/>
          <w:sz w:val="28"/>
          <w:szCs w:val="28"/>
          <w:lang w:val="en-US" w:eastAsia="zh-CN" w:bidi="ar"/>
        </w:rPr>
        <w:t>，</w:t>
      </w:r>
      <w:r>
        <w:rPr>
          <w:rFonts w:hint="eastAsia" w:ascii="宋体" w:hAnsi="宋体" w:eastAsia="宋体" w:cs="宋体"/>
          <w:bCs w:val="0"/>
          <w:color w:val="auto"/>
          <w:kern w:val="0"/>
          <w:sz w:val="28"/>
          <w:szCs w:val="28"/>
          <w:lang w:val="en-US" w:eastAsia="zh-CN" w:bidi="ar"/>
        </w:rPr>
        <w:t>降低了疾病感染率；</w:t>
      </w:r>
      <w:r>
        <w:rPr>
          <w:rFonts w:hint="default" w:ascii="宋体" w:hAnsi="宋体" w:eastAsia="宋体" w:cs="宋体"/>
          <w:bCs w:val="0"/>
          <w:color w:val="auto"/>
          <w:kern w:val="0"/>
          <w:sz w:val="28"/>
          <w:szCs w:val="28"/>
          <w:lang w:val="en-US" w:eastAsia="zh-CN" w:bidi="ar"/>
        </w:rPr>
        <w:t>中西医结合治疗，</w:t>
      </w:r>
      <w:r>
        <w:rPr>
          <w:rFonts w:hint="eastAsia" w:ascii="宋体" w:hAnsi="宋体" w:eastAsia="宋体" w:cs="宋体"/>
          <w:bCs w:val="0"/>
          <w:color w:val="auto"/>
          <w:kern w:val="0"/>
          <w:sz w:val="28"/>
          <w:szCs w:val="28"/>
          <w:lang w:val="en-US" w:eastAsia="zh-CN" w:bidi="ar"/>
        </w:rPr>
        <w:t>配合中药治疗</w:t>
      </w:r>
      <w:r>
        <w:rPr>
          <w:rFonts w:hint="default" w:ascii="宋体" w:hAnsi="宋体" w:eastAsia="宋体" w:cs="宋体"/>
          <w:bCs w:val="0"/>
          <w:color w:val="auto"/>
          <w:kern w:val="0"/>
          <w:sz w:val="28"/>
          <w:szCs w:val="28"/>
          <w:lang w:val="en-US" w:eastAsia="zh-CN" w:bidi="ar"/>
        </w:rPr>
        <w:t>方剂</w:t>
      </w:r>
      <w:r>
        <w:rPr>
          <w:rFonts w:hint="eastAsia" w:ascii="宋体" w:hAnsi="宋体" w:eastAsia="宋体" w:cs="宋体"/>
          <w:bCs w:val="0"/>
          <w:color w:val="auto"/>
          <w:kern w:val="0"/>
          <w:sz w:val="28"/>
          <w:szCs w:val="28"/>
          <w:lang w:val="en-US" w:eastAsia="zh-CN" w:bidi="ar"/>
        </w:rPr>
        <w:t>，</w:t>
      </w:r>
      <w:r>
        <w:rPr>
          <w:rFonts w:hint="default" w:ascii="宋体" w:hAnsi="宋体" w:eastAsia="宋体" w:cs="宋体"/>
          <w:bCs w:val="0"/>
          <w:color w:val="auto"/>
          <w:kern w:val="0"/>
          <w:sz w:val="28"/>
          <w:szCs w:val="28"/>
          <w:lang w:val="en-US" w:eastAsia="zh-CN" w:bidi="ar"/>
        </w:rPr>
        <w:t>提高</w:t>
      </w:r>
      <w:r>
        <w:rPr>
          <w:rFonts w:hint="eastAsia" w:ascii="宋体" w:hAnsi="宋体" w:eastAsia="宋体" w:cs="宋体"/>
          <w:bCs w:val="0"/>
          <w:color w:val="auto"/>
          <w:kern w:val="0"/>
          <w:sz w:val="28"/>
          <w:szCs w:val="28"/>
          <w:lang w:val="en-US" w:eastAsia="zh-CN" w:bidi="ar"/>
        </w:rPr>
        <w:t>了疾病</w:t>
      </w:r>
      <w:r>
        <w:rPr>
          <w:rFonts w:hint="default" w:ascii="宋体" w:hAnsi="宋体" w:eastAsia="宋体" w:cs="宋体"/>
          <w:bCs w:val="0"/>
          <w:color w:val="auto"/>
          <w:kern w:val="0"/>
          <w:sz w:val="28"/>
          <w:szCs w:val="28"/>
          <w:lang w:val="en-US" w:eastAsia="zh-CN" w:bidi="ar"/>
        </w:rPr>
        <w:t>治愈率</w:t>
      </w:r>
      <w:r>
        <w:rPr>
          <w:rFonts w:hint="eastAsia" w:ascii="宋体" w:hAnsi="宋体" w:eastAsia="宋体" w:cs="宋体"/>
          <w:bCs w:val="0"/>
          <w:color w:val="auto"/>
          <w:kern w:val="0"/>
          <w:sz w:val="28"/>
          <w:szCs w:val="28"/>
          <w:lang w:val="en-US" w:eastAsia="zh-CN" w:bidi="ar"/>
        </w:rPr>
        <w:t>。</w:t>
      </w:r>
      <w:r>
        <w:rPr>
          <w:rFonts w:hint="eastAsia" w:ascii="宋体" w:hAnsi="宋体" w:eastAsia="宋体" w:cs="宋体"/>
          <w:color w:val="auto"/>
          <w:kern w:val="0"/>
          <w:sz w:val="28"/>
          <w:szCs w:val="28"/>
          <w:lang w:val="en-US" w:eastAsia="zh-CN" w:bidi="ar"/>
        </w:rPr>
        <w:t>研制1项中医证候诊断标准、4项中西医结合诊疗方案、3项专家共识以及13种医疗机构制剂，以提高治疗效果并促进康复。</w:t>
      </w:r>
    </w:p>
    <w:p w14:paraId="5AC1BA1C">
      <w:pPr>
        <w:keepNext w:val="0"/>
        <w:keepLines w:val="0"/>
        <w:widowControl/>
        <w:suppressLineNumbers w:val="0"/>
        <w:spacing w:line="240" w:lineRule="auto"/>
        <w:ind w:firstLine="562" w:firstLineChars="200"/>
        <w:jc w:val="left"/>
        <w:rPr>
          <w:rFonts w:hint="eastAsia" w:ascii="宋体" w:hAnsi="宋体" w:eastAsia="宋体" w:cs="宋体"/>
          <w:b/>
          <w:bCs/>
          <w:color w:val="000000"/>
          <w:kern w:val="0"/>
          <w:sz w:val="31"/>
          <w:szCs w:val="31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  <w:t>7.3文化建设</w:t>
      </w:r>
    </w:p>
    <w:p w14:paraId="21C41072">
      <w:pPr>
        <w:keepNext w:val="0"/>
        <w:keepLines w:val="0"/>
        <w:widowControl/>
        <w:suppressLineNumbers w:val="0"/>
        <w:spacing w:line="240" w:lineRule="auto"/>
        <w:ind w:firstLine="562" w:firstLineChars="200"/>
        <w:jc w:val="left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8"/>
          <w:lang w:val="en-US" w:eastAsia="zh-CN" w:bidi="ar"/>
        </w:rPr>
        <w:t xml:space="preserve">7.3.1以传承发展为本，打造仲景文化品牌 </w:t>
      </w:r>
    </w:p>
    <w:p w14:paraId="66651044">
      <w:pPr>
        <w:keepNext w:val="0"/>
        <w:keepLines w:val="0"/>
        <w:widowControl/>
        <w:suppressLineNumbers w:val="0"/>
        <w:spacing w:line="240" w:lineRule="auto"/>
        <w:ind w:firstLine="560" w:firstLineChars="200"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依托我校全国中医药文化宣传教育基地，打造具有中原特色的中医药文化传承创新基地，近年来接待省内外中医药爱好者7万余人，获批河南省及全国“中华优秀传统文化传承基地”。围绕仲景学术文化，举办仲景文化节，出版中医文化研究著作；积极参加“翻译河南”工程，开办“美国亚利桑那中医孔子学院”，建立“中国-马来西亚仲景中医药中心”，助推“一带一路”健康卫生行动，推动中医药文化走向世界。</w:t>
      </w:r>
    </w:p>
    <w:p w14:paraId="3A19D7E8">
      <w:pPr>
        <w:spacing w:line="240" w:lineRule="auto"/>
        <w:ind w:firstLine="562" w:firstLineChars="200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8"/>
          <w:lang w:val="en-US" w:eastAsia="zh-CN" w:bidi="ar"/>
        </w:rPr>
        <w:t>7.3.2以传承精华为魂，发展中原学术流派</w:t>
      </w:r>
    </w:p>
    <w:p w14:paraId="524EFBC8">
      <w:pPr>
        <w:keepNext w:val="0"/>
        <w:keepLines w:val="0"/>
        <w:widowControl/>
        <w:suppressLineNumbers w:val="0"/>
        <w:spacing w:line="240" w:lineRule="auto"/>
        <w:ind w:firstLine="560" w:firstLineChars="200"/>
        <w:jc w:val="left"/>
        <w:rPr>
          <w:rFonts w:hint="eastAsia" w:ascii="宋体" w:hAnsi="宋体" w:eastAsia="宋体" w:cs="宋体"/>
          <w:color w:val="auto"/>
          <w:kern w:val="0"/>
          <w:sz w:val="28"/>
          <w:szCs w:val="28"/>
          <w:lang w:val="en-US" w:eastAsia="zh-CN" w:bidi="ar"/>
        </w:rPr>
      </w:pPr>
      <w:r>
        <w:rPr>
          <w:rFonts w:hint="default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学位点积极响应中医学术流派摸底调查工作，确定了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全国名中医崔公让为代表的“河南崔氏疮疡外科学术流派”等24个学术流派。</w:t>
      </w:r>
      <w:r>
        <w:rPr>
          <w:rFonts w:hint="default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对不同流派的继承和实践，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促进了</w:t>
      </w:r>
      <w:r>
        <w:rPr>
          <w:rFonts w:hint="default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百家争鸣，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为</w:t>
      </w:r>
      <w:r>
        <w:rPr>
          <w:rFonts w:hint="default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中医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的蓬勃发展提供</w:t>
      </w:r>
      <w:r>
        <w:rPr>
          <w:rFonts w:hint="default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有力保障</w:t>
      </w:r>
      <w:r>
        <w:rPr>
          <w:rFonts w:hint="eastAsia" w:ascii="宋体" w:hAnsi="宋体" w:eastAsia="宋体" w:cs="宋体"/>
          <w:color w:val="auto"/>
          <w:kern w:val="0"/>
          <w:sz w:val="28"/>
          <w:szCs w:val="28"/>
          <w:lang w:val="en-US" w:eastAsia="zh-CN" w:bidi="ar"/>
        </w:rPr>
        <w:t>。</w:t>
      </w:r>
    </w:p>
    <w:p w14:paraId="07C2DA95">
      <w:pPr>
        <w:spacing w:after="156" w:afterLines="50" w:line="560" w:lineRule="exact"/>
        <w:jc w:val="left"/>
        <w:rPr>
          <w:rFonts w:ascii="Times New Roman" w:hAnsi="Times New Roman" w:eastAsia="方正小标宋简体"/>
          <w:b/>
          <w:sz w:val="32"/>
          <w:szCs w:val="32"/>
        </w:rPr>
      </w:pPr>
      <w:r>
        <w:rPr>
          <w:rFonts w:hint="eastAsia" w:ascii="Times New Roman" w:hAnsi="Times New Roman" w:eastAsia="方正小标宋简体"/>
          <w:b/>
          <w:sz w:val="32"/>
          <w:szCs w:val="32"/>
        </w:rPr>
        <w:t>三、</w:t>
      </w:r>
      <w:bookmarkStart w:id="3" w:name="OLE_LINK9"/>
      <w:r>
        <w:rPr>
          <w:rFonts w:hint="eastAsia" w:ascii="Times New Roman" w:hAnsi="Times New Roman" w:eastAsia="方正小标宋简体"/>
          <w:b/>
          <w:sz w:val="32"/>
          <w:szCs w:val="32"/>
        </w:rPr>
        <w:t>学位点建设评估与分析</w:t>
      </w:r>
    </w:p>
    <w:bookmarkEnd w:id="3"/>
    <w:p w14:paraId="70CCF791">
      <w:pPr>
        <w:spacing w:line="360" w:lineRule="auto"/>
        <w:ind w:firstLine="562" w:firstLineChars="200"/>
        <w:rPr>
          <w:rFonts w:hint="eastAsia" w:ascii="宋体" w:hAnsi="宋体" w:eastAsia="宋体" w:cs="仿宋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仿宋"/>
          <w:b/>
          <w:bCs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仿宋"/>
          <w:b/>
          <w:bCs/>
          <w:sz w:val="28"/>
          <w:szCs w:val="28"/>
          <w:lang w:val="en-US" w:eastAsia="zh-CN"/>
        </w:rPr>
        <w:t>一</w:t>
      </w:r>
      <w:r>
        <w:rPr>
          <w:rFonts w:hint="eastAsia" w:ascii="宋体" w:hAnsi="宋体" w:eastAsia="宋体" w:cs="仿宋"/>
          <w:b/>
          <w:bCs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仿宋"/>
          <w:b/>
          <w:bCs/>
          <w:sz w:val="28"/>
          <w:szCs w:val="28"/>
        </w:rPr>
        <w:t>建设进展</w:t>
      </w:r>
      <w:r>
        <w:rPr>
          <w:rFonts w:hint="eastAsia" w:ascii="宋体" w:hAnsi="宋体" w:eastAsia="宋体" w:cs="仿宋"/>
          <w:b/>
          <w:bCs/>
          <w:sz w:val="28"/>
          <w:szCs w:val="28"/>
          <w:lang w:val="en-US" w:eastAsia="zh-CN"/>
        </w:rPr>
        <w:t>及问题分析</w:t>
      </w:r>
    </w:p>
    <w:p w14:paraId="2C28DCCD">
      <w:pPr>
        <w:keepNext w:val="0"/>
        <w:keepLines w:val="0"/>
        <w:widowControl/>
        <w:suppressLineNumbers w:val="0"/>
        <w:spacing w:line="240" w:lineRule="auto"/>
        <w:ind w:firstLine="562" w:firstLineChars="200"/>
        <w:jc w:val="left"/>
        <w:rPr>
          <w:rFonts w:hint="default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  <w:t>1.1建设进展</w:t>
      </w:r>
    </w:p>
    <w:p w14:paraId="7C306BC2">
      <w:pPr>
        <w:keepNext w:val="0"/>
        <w:keepLines w:val="0"/>
        <w:widowControl/>
        <w:suppressLineNumbers w:val="0"/>
        <w:spacing w:line="240" w:lineRule="auto"/>
        <w:ind w:firstLine="562" w:firstLineChars="200"/>
        <w:jc w:val="left"/>
        <w:rPr>
          <w:rFonts w:hint="default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  <w:t>1.1.1高学历多元背景导师队伍持续优化</w:t>
      </w:r>
    </w:p>
    <w:p w14:paraId="00F54958">
      <w:pPr>
        <w:keepNext w:val="0"/>
        <w:keepLines w:val="0"/>
        <w:widowControl/>
        <w:suppressLineNumbers w:val="0"/>
        <w:spacing w:line="240" w:lineRule="auto"/>
        <w:ind w:firstLine="560" w:firstLineChars="200"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学位点导师团队规模达325人，形成“高职称、年轻化、高学历、多源化”的立体结构。正</w:t>
      </w: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高级职称占比</w:t>
      </w:r>
      <w:r>
        <w:rPr>
          <w:rFonts w:hint="eastAsia" w:ascii="宋体" w:hAnsi="宋体" w:eastAsia="宋体" w:cs="宋体"/>
          <w:b w:val="0"/>
          <w:bCs w:val="0"/>
          <w:color w:val="000000"/>
          <w:kern w:val="2"/>
          <w:sz w:val="28"/>
          <w:szCs w:val="28"/>
          <w:lang w:val="en-US" w:eastAsia="zh-CN" w:bidi="ar-SA"/>
        </w:rPr>
        <w:t>49.54%</w:t>
      </w: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，临床经验与科研指导能力突出；</w:t>
      </w:r>
      <w:r>
        <w:rPr>
          <w:rFonts w:hint="eastAsia" w:ascii="宋体" w:hAnsi="宋体" w:eastAsia="宋体" w:cs="宋体"/>
          <w:b w:val="0"/>
          <w:bCs w:val="0"/>
          <w:color w:val="auto"/>
          <w:kern w:val="2"/>
          <w:sz w:val="28"/>
          <w:szCs w:val="28"/>
          <w:lang w:val="en-US" w:eastAsia="zh-CN" w:bidi="ar-SA"/>
        </w:rPr>
        <w:t>45岁以下占比36.08%</w:t>
      </w: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，为团队注入创新活力。学历层次上，博士学位占比60.92%，学术积淀深厚；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59.38%的导师最高学位来自外单位，学术视野开阔，促进交叉融合</w:t>
      </w:r>
      <w:bookmarkStart w:id="4" w:name="_GoBack"/>
      <w:bookmarkEnd w:id="4"/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。整体呈现梯队衔接合理、学历层次攀升的显著特点，为高质量教学与研究提供核心人才保障，有效支撑学位点科研创新与成果转化需求。</w:t>
      </w:r>
    </w:p>
    <w:p w14:paraId="5078F92C">
      <w:pPr>
        <w:keepNext w:val="0"/>
        <w:keepLines w:val="0"/>
        <w:widowControl/>
        <w:suppressLineNumbers w:val="0"/>
        <w:spacing w:line="240" w:lineRule="auto"/>
        <w:ind w:firstLine="562" w:firstLineChars="200"/>
        <w:jc w:val="left"/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  <w:t>1.1.2重点专科与科研平台体系化布局</w:t>
      </w:r>
    </w:p>
    <w:p w14:paraId="3E3E5DF1">
      <w:pPr>
        <w:keepNext w:val="0"/>
        <w:keepLines w:val="0"/>
        <w:widowControl/>
        <w:suppressLineNumbers w:val="0"/>
        <w:spacing w:line="240" w:lineRule="auto"/>
        <w:ind w:firstLine="560" w:firstLineChars="200"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学位点已形成“国家级-省级”双轮驱动的平台建设格局，为学科发展提供强力支撑。2023年《中医医院学科（专科）学术影响力评价研究报告》中</w:t>
      </w:r>
      <w:r>
        <w:rPr>
          <w:rFonts w:hint="eastAsia" w:ascii="宋体" w:hAnsi="宋体" w:eastAsia="宋体" w:cs="仿宋"/>
          <w:sz w:val="28"/>
          <w:szCs w:val="28"/>
          <w:lang w:val="en-US" w:eastAsia="zh-CN"/>
        </w:rPr>
        <w:t>附属医院综合排名全国第九，儿科、肺病、心病、肝胆病、脑病、康复、疫病7个学科进入全国前十，其中中医儿科学、肺病方向位居全国第一，彰显学科优势。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  <w:t>国家级平台方面，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拥有国家中医药传承创新中心、国家区域中医（专科）诊疗中心等6大国家级平台，覆盖临床研究、国际合作、教学培训等领域。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  <w:t>省级及重点专科方面，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建设省部共建协同创新中心1个，国家临床重点专科（中医类）12个，国家中医药管理局重点学科14个、重点专科28个，河南省中医重点专科23个、重点学科25个，形成中医专科集群优势。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  <w:t>实验室体系方面，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建成河南省重点实验室5个、国际联合实验室3个、工程研究中心16个（含省级工程技术研究中心4个），为科研创新提供硬件保障。</w:t>
      </w:r>
    </w:p>
    <w:p w14:paraId="4308C5F4">
      <w:pPr>
        <w:keepNext w:val="0"/>
        <w:keepLines w:val="0"/>
        <w:widowControl/>
        <w:suppressLineNumbers w:val="0"/>
        <w:spacing w:line="240" w:lineRule="auto"/>
        <w:ind w:firstLine="562" w:firstLineChars="200"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  <w:t>1.1.3教学设施智能化与资源集成化升级</w:t>
      </w:r>
    </w:p>
    <w:p w14:paraId="20777EC2">
      <w:pPr>
        <w:keepNext w:val="0"/>
        <w:keepLines w:val="0"/>
        <w:widowControl/>
        <w:suppressLineNumbers w:val="0"/>
        <w:spacing w:line="240" w:lineRule="auto"/>
        <w:ind w:firstLine="560" w:firstLineChars="200"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教学条件全面优化，支撑人才培养质量提升。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  <w:t>智慧教学建设：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虚拟仿真实验教学空间占地1200余平方米，获评“河南省本科高校智慧教学示范校”，构建沉浸式学习场景。省级重点实验平台“中医学实验教学示范中心”总面积达15601平方米，配备4.2亿元先进设备，支撑实验教学与科研需求。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  <w:t>临床实践保障：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依托3所附属医院，开放床位7257张，满足临床实践教学需求。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  <w:t>学术资源支撑：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图书馆藏书总量375.6万册（含电子图书162.6万册），拥有97种中外文数据库及3868种期刊，保障科研与学术深度需求。</w:t>
      </w:r>
    </w:p>
    <w:p w14:paraId="02452B6D">
      <w:pPr>
        <w:keepNext w:val="0"/>
        <w:keepLines w:val="0"/>
        <w:widowControl/>
        <w:suppressLineNumbers w:val="0"/>
        <w:spacing w:line="240" w:lineRule="auto"/>
        <w:ind w:firstLine="562" w:firstLineChars="200"/>
        <w:jc w:val="left"/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  <w:t>1.1.4科学研究与成果转化成效显著</w:t>
      </w:r>
    </w:p>
    <w:p w14:paraId="1DC843CC">
      <w:pPr>
        <w:keepNext w:val="0"/>
        <w:keepLines w:val="0"/>
        <w:widowControl/>
        <w:suppressLineNumbers w:val="0"/>
        <w:spacing w:line="240" w:lineRule="auto"/>
        <w:ind w:firstLine="560" w:firstLineChars="200"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2023年科研产出实现量质双升。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  <w:t>课题立项：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获批纵向课题458项，其中国家级26项（含5项“科技创新2030”重大专项），总经费1.44亿元；横向课题经费106.38万元。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  <w:t>成果产出：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发表中文核心及SCI论文396篇，主编/副主编著作60部。制定行业标准、指南及专家共识30项，获科研奖励57项。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  <w:t>知识产权转化：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获专利及软件著作权83项，转化收益70万元，推动产学研融合。</w:t>
      </w:r>
    </w:p>
    <w:p w14:paraId="2E767D6F">
      <w:pPr>
        <w:keepNext w:val="0"/>
        <w:keepLines w:val="0"/>
        <w:widowControl/>
        <w:suppressLineNumbers w:val="0"/>
        <w:spacing w:line="240" w:lineRule="auto"/>
        <w:ind w:firstLine="562" w:firstLineChars="200"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  <w:t>1.1.5招生质量与培养质量双提升</w:t>
      </w:r>
    </w:p>
    <w:p w14:paraId="7DA91DA2">
      <w:pPr>
        <w:keepNext w:val="0"/>
        <w:keepLines w:val="0"/>
        <w:widowControl/>
        <w:suppressLineNumbers w:val="0"/>
        <w:spacing w:line="240" w:lineRule="auto"/>
        <w:ind w:firstLine="560" w:firstLineChars="200"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生源结构优化与选拔机制创新同步推进。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  <w:t>招生规模与质量：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建设期内授予医学硕士学位77人，2023年录取研究生11人（报名52人，录取率20.37%），生源结构持续优化。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  <w:t>培养体系质量：</w:t>
      </w:r>
      <w:r>
        <w:rPr>
          <w:rFonts w:hint="eastAsia" w:ascii="宋体" w:hAnsi="宋体" w:eastAsia="宋体" w:cs="仿宋"/>
          <w:sz w:val="28"/>
          <w:szCs w:val="28"/>
          <w:lang w:val="en-US" w:eastAsia="zh-CN"/>
        </w:rPr>
        <w:t>实行全过程监控管理，建立全流程质量监控体系，论文抽检合格率100%，学术不端零容忍，学风建设成效显著。2024年博士就业率100%，主要流向高校和医疗机构，用人单位评价高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。</w:t>
      </w:r>
    </w:p>
    <w:p w14:paraId="4BCEE4FD">
      <w:pPr>
        <w:spacing w:line="360" w:lineRule="auto"/>
        <w:ind w:firstLine="562" w:firstLineChars="200"/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  <w:t>1.2问题分析</w:t>
      </w:r>
    </w:p>
    <w:p w14:paraId="1759A406">
      <w:pPr>
        <w:spacing w:line="360" w:lineRule="auto"/>
        <w:ind w:firstLine="562" w:firstLineChars="200"/>
        <w:rPr>
          <w:rFonts w:hint="default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  <w:t>1.2.1导师团队建设方面</w:t>
      </w:r>
    </w:p>
    <w:p w14:paraId="68629275">
      <w:pPr>
        <w:spacing w:line="360" w:lineRule="auto"/>
        <w:ind w:firstLine="562" w:firstLineChars="200"/>
        <w:rPr>
          <w:rFonts w:hint="default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  <w:t>（1）</w:t>
      </w:r>
      <w:r>
        <w:rPr>
          <w:rFonts w:hint="default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  <w:t>高层次人才引进不足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  <w:t>：</w:t>
      </w:r>
      <w:r>
        <w:rPr>
          <w:rFonts w:hint="default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导师团队中正高级职称和博士学位比例较高，但具有国际学术背景的高层次人才数量较少，特别是在新兴交叉学科领域的领军人才匮乏。</w:t>
      </w:r>
    </w:p>
    <w:p w14:paraId="531C66CD">
      <w:pPr>
        <w:spacing w:line="360" w:lineRule="auto"/>
        <w:ind w:firstLine="562" w:firstLineChars="200"/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  <w:t>（2）学科交叉融合不足：</w:t>
      </w: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导师团队的专业背景主要集中在传统中医药领域，与其他学科（如生物医学、人工智能等）的交叉融合不足，限制了学科创新能力的提升。</w:t>
      </w:r>
    </w:p>
    <w:p w14:paraId="3FBA1765">
      <w:pPr>
        <w:spacing w:line="360" w:lineRule="auto"/>
        <w:ind w:firstLine="562" w:firstLineChars="200"/>
        <w:rPr>
          <w:rFonts w:hint="default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  <w:t>1.2.2科研平台建设方面</w:t>
      </w:r>
    </w:p>
    <w:p w14:paraId="26B9189E">
      <w:pPr>
        <w:spacing w:line="360" w:lineRule="auto"/>
        <w:ind w:firstLine="562" w:firstLineChars="200"/>
        <w:rPr>
          <w:rFonts w:hint="default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  <w:t>（1）</w:t>
      </w:r>
      <w:r>
        <w:rPr>
          <w:rFonts w:hint="default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  <w:t>国家级平台分布不均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  <w:t>：</w:t>
      </w:r>
      <w:r>
        <w:rPr>
          <w:rFonts w:hint="default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虽然学位点拥有多个国家级平台，但这些平台主要集中在中医药领域，其他相关学科或交叉学科的国家级平台相对较少，学科发展的广度和深度有待进一步拓展。</w:t>
      </w:r>
    </w:p>
    <w:p w14:paraId="2ED25163">
      <w:pPr>
        <w:spacing w:line="360" w:lineRule="auto"/>
        <w:ind w:firstLine="562" w:firstLineChars="200"/>
        <w:rPr>
          <w:rFonts w:hint="eastAsia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  <w:t>（2）国际化水平有待提升：</w:t>
      </w: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虽然拥有国家中医药国际合作交流基地，但与其他国际高水平研究机构的合作深度和广度仍需加强，国际科研合作项目和联合培养人才的规模较小。</w:t>
      </w:r>
    </w:p>
    <w:p w14:paraId="4C4E06CF">
      <w:pPr>
        <w:spacing w:line="360" w:lineRule="auto"/>
        <w:ind w:left="559" w:leftChars="266" w:firstLine="0" w:firstLineChars="0"/>
        <w:rPr>
          <w:rFonts w:hint="default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  <w:t>1.2.3科学研究工作方面</w:t>
      </w:r>
    </w:p>
    <w:p w14:paraId="5DF6BA0C">
      <w:pPr>
        <w:spacing w:line="360" w:lineRule="auto"/>
        <w:ind w:firstLine="562" w:firstLineChars="200"/>
        <w:rPr>
          <w:rFonts w:hint="default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  <w:t>（1）</w:t>
      </w:r>
      <w:r>
        <w:rPr>
          <w:rFonts w:hint="default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  <w:t>横向课题经费较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  <w:t>少：</w:t>
      </w:r>
      <w:r>
        <w:rPr>
          <w:rFonts w:hint="default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横向课题总经费仅为106.38万元，与纵向课题经费相比明显偏低，反映出学位点与行业企业之间的产学研合作深度不足。</w:t>
      </w:r>
    </w:p>
    <w:p w14:paraId="290A1643">
      <w:pPr>
        <w:spacing w:line="360" w:lineRule="auto"/>
        <w:ind w:firstLine="562" w:firstLineChars="200"/>
        <w:rPr>
          <w:rFonts w:hint="default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  <w:t>（2）</w:t>
      </w:r>
      <w:r>
        <w:rPr>
          <w:rFonts w:hint="default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  <w:t>国家级项目占比偏低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  <w:t>：</w:t>
      </w:r>
      <w:r>
        <w:rPr>
          <w:rFonts w:hint="default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2023年获批的458项纵向科研课题中，国家级项目仅26项，占比约5.7%，表明在高水平科研项目的竞争中仍需进一步提升实力。</w:t>
      </w:r>
    </w:p>
    <w:p w14:paraId="776A27FC">
      <w:pPr>
        <w:pStyle w:val="4"/>
        <w:ind w:firstLine="562" w:firstLineChars="200"/>
        <w:rPr>
          <w:rFonts w:hint="default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仿宋"/>
          <w:b/>
          <w:bCs w:val="0"/>
          <w:sz w:val="28"/>
          <w:szCs w:val="28"/>
          <w:lang w:val="en-US" w:eastAsia="zh-CN"/>
        </w:rPr>
        <w:t>（二）学位论文情况及问题分析</w:t>
      </w:r>
    </w:p>
    <w:p w14:paraId="7ED611E8">
      <w:pPr>
        <w:pStyle w:val="8"/>
        <w:keepNext w:val="0"/>
        <w:keepLines w:val="0"/>
        <w:widowControl/>
        <w:suppressLineNumbers w:val="0"/>
        <w:spacing w:before="0" w:beforeAutospacing="0" w:after="0" w:afterAutospacing="0"/>
        <w:ind w:right="0" w:firstLine="562" w:firstLineChars="200"/>
        <w:rPr>
          <w:rFonts w:hint="default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  <w:t>2.1学位论文情况</w:t>
      </w:r>
    </w:p>
    <w:p w14:paraId="4DC7D308">
      <w:pPr>
        <w:pStyle w:val="8"/>
        <w:keepNext w:val="0"/>
        <w:keepLines w:val="0"/>
        <w:widowControl/>
        <w:suppressLineNumbers w:val="0"/>
        <w:spacing w:before="0" w:beforeAutospacing="0" w:after="0" w:afterAutospacing="0"/>
        <w:ind w:right="0" w:firstLine="560" w:firstLineChars="200"/>
        <w:rPr>
          <w:rFonts w:hint="default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default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学位点严格按照《河南中医药大学研究生学位论文匿名评审办法（试行）》等文件，建立了从原始材料审查、预答辩、双盲外审到学校统一查重的全过程质量控制体系，确保了学位论文的真实性、可靠性和学术规范性。构建了“全过程留痕-双盲评审-公开答辩”的质量保障闭环，对培养、科研、论文发表至学位授予各环节的原始记录进行审核并归档，确保了培养过程的可追溯性。论文实行“双盲”评审，每篇论文由三名专家评审，确保评审过程客观公正。答辩环节严格管理，答辩安排需经学院审核，答辩过程公开透明，接受各方监督。2023年学术型博士生学位论文外审通过率、河南省省级抽检通过率和国家级抽检合格率均达到100%，并获河南省优秀硕博毕业论文2篇，体现了学位论文质量的显著提升。</w:t>
      </w:r>
    </w:p>
    <w:p w14:paraId="1D9FC917">
      <w:pPr>
        <w:spacing w:line="360" w:lineRule="auto"/>
        <w:ind w:firstLine="562" w:firstLineChars="200"/>
        <w:rPr>
          <w:rFonts w:hint="default" w:ascii="宋体" w:hAnsi="宋体" w:eastAsia="宋体" w:cs="仿宋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仿宋"/>
          <w:b/>
          <w:bCs/>
          <w:sz w:val="28"/>
          <w:szCs w:val="28"/>
          <w:lang w:val="en-US" w:eastAsia="zh-CN"/>
        </w:rPr>
        <w:t>2.2学位论文问题分析</w:t>
      </w:r>
    </w:p>
    <w:p w14:paraId="4B2563DB">
      <w:pPr>
        <w:spacing w:line="360" w:lineRule="auto"/>
        <w:ind w:firstLine="562" w:firstLineChars="200"/>
        <w:rPr>
          <w:rFonts w:hint="default" w:ascii="宋体" w:hAnsi="宋体" w:eastAsia="宋体" w:cs="仿宋"/>
          <w:sz w:val="28"/>
          <w:szCs w:val="28"/>
          <w:lang w:val="en-US" w:eastAsia="zh-CN"/>
        </w:rPr>
      </w:pPr>
      <w:r>
        <w:rPr>
          <w:rFonts w:hint="eastAsia" w:ascii="宋体" w:hAnsi="宋体" w:eastAsia="宋体" w:cs="仿宋"/>
          <w:b/>
          <w:bCs/>
          <w:sz w:val="28"/>
          <w:szCs w:val="28"/>
          <w:lang w:val="en-US" w:eastAsia="zh-CN"/>
        </w:rPr>
        <w:t>2.2.1</w:t>
      </w:r>
      <w:r>
        <w:rPr>
          <w:rFonts w:hint="default" w:ascii="宋体" w:hAnsi="宋体" w:eastAsia="宋体" w:cs="仿宋"/>
          <w:b/>
          <w:bCs/>
          <w:sz w:val="28"/>
          <w:szCs w:val="28"/>
          <w:lang w:val="en-US" w:eastAsia="zh-CN"/>
        </w:rPr>
        <w:t>评审专家选择标准不统一</w:t>
      </w:r>
    </w:p>
    <w:p w14:paraId="797A5B5E">
      <w:pPr>
        <w:spacing w:line="360" w:lineRule="auto"/>
        <w:ind w:firstLine="560" w:firstLineChars="200"/>
        <w:rPr>
          <w:rFonts w:hint="default" w:ascii="宋体" w:hAnsi="宋体" w:eastAsia="宋体" w:cs="仿宋"/>
          <w:sz w:val="28"/>
          <w:szCs w:val="28"/>
          <w:lang w:val="en-US" w:eastAsia="zh-CN"/>
        </w:rPr>
      </w:pPr>
      <w:r>
        <w:rPr>
          <w:rFonts w:hint="default" w:ascii="宋体" w:hAnsi="宋体" w:eastAsia="宋体" w:cs="仿宋"/>
          <w:sz w:val="28"/>
          <w:szCs w:val="28"/>
          <w:lang w:val="en-US" w:eastAsia="zh-CN"/>
        </w:rPr>
        <w:t>尽管实行了“双盲”评审，但评审专家的学术水平和评审严谨性可能存在差异，影响评审结果的客观性和公正性。</w:t>
      </w:r>
    </w:p>
    <w:p w14:paraId="361709B6">
      <w:pPr>
        <w:spacing w:line="360" w:lineRule="auto"/>
        <w:ind w:firstLine="562" w:firstLineChars="200"/>
        <w:rPr>
          <w:rFonts w:hint="default" w:ascii="宋体" w:hAnsi="宋体" w:eastAsia="宋体" w:cs="仿宋"/>
          <w:sz w:val="28"/>
          <w:szCs w:val="28"/>
          <w:lang w:val="en-US" w:eastAsia="zh-CN"/>
        </w:rPr>
      </w:pPr>
      <w:r>
        <w:rPr>
          <w:rFonts w:hint="eastAsia" w:ascii="宋体" w:hAnsi="宋体" w:eastAsia="宋体" w:cs="仿宋"/>
          <w:b/>
          <w:bCs/>
          <w:sz w:val="28"/>
          <w:szCs w:val="28"/>
          <w:lang w:val="en-US" w:eastAsia="zh-CN"/>
        </w:rPr>
        <w:t>2.2.2</w:t>
      </w:r>
      <w:r>
        <w:rPr>
          <w:rFonts w:hint="default" w:ascii="宋体" w:hAnsi="宋体" w:eastAsia="宋体" w:cs="仿宋"/>
          <w:b/>
          <w:bCs/>
          <w:sz w:val="28"/>
          <w:szCs w:val="28"/>
          <w:lang w:val="en-US" w:eastAsia="zh-CN"/>
        </w:rPr>
        <w:t>优秀论文数量有限</w:t>
      </w:r>
    </w:p>
    <w:p w14:paraId="7937B379">
      <w:pPr>
        <w:spacing w:line="360" w:lineRule="auto"/>
        <w:ind w:firstLine="560" w:firstLineChars="200"/>
        <w:rPr>
          <w:rFonts w:hint="default" w:ascii="宋体" w:hAnsi="宋体" w:eastAsia="宋体" w:cs="仿宋"/>
          <w:sz w:val="28"/>
          <w:szCs w:val="28"/>
          <w:lang w:val="en-US" w:eastAsia="zh-CN"/>
        </w:rPr>
      </w:pPr>
      <w:r>
        <w:rPr>
          <w:rFonts w:hint="default" w:ascii="宋体" w:hAnsi="宋体" w:eastAsia="宋体" w:cs="仿宋"/>
          <w:sz w:val="28"/>
          <w:szCs w:val="28"/>
          <w:lang w:val="en-US" w:eastAsia="zh-CN"/>
        </w:rPr>
        <w:t>2023年仅获得2篇河南省优秀硕博毕业论文，优秀论文的数量和影响力相对有限</w:t>
      </w:r>
      <w:r>
        <w:rPr>
          <w:rFonts w:hint="eastAsia" w:ascii="宋体" w:hAnsi="宋体" w:eastAsia="宋体" w:cs="仿宋"/>
          <w:sz w:val="28"/>
          <w:szCs w:val="28"/>
          <w:lang w:val="en-US" w:eastAsia="zh-CN"/>
        </w:rPr>
        <w:t>。</w:t>
      </w:r>
    </w:p>
    <w:p w14:paraId="159EBE7E">
      <w:pPr>
        <w:spacing w:line="360" w:lineRule="auto"/>
        <w:ind w:firstLine="562" w:firstLineChars="200"/>
        <w:rPr>
          <w:rFonts w:hint="eastAsia" w:ascii="宋体" w:hAnsi="宋体" w:eastAsia="宋体" w:cs="仿宋"/>
          <w:b/>
          <w:bCs/>
          <w:sz w:val="28"/>
          <w:szCs w:val="28"/>
        </w:rPr>
      </w:pPr>
      <w:r>
        <w:rPr>
          <w:rFonts w:hint="eastAsia" w:ascii="宋体" w:hAnsi="宋体" w:eastAsia="宋体" w:cs="仿宋"/>
          <w:b/>
          <w:bCs/>
          <w:sz w:val="28"/>
          <w:szCs w:val="28"/>
        </w:rPr>
        <w:t>（三）改进建议</w:t>
      </w:r>
    </w:p>
    <w:p w14:paraId="3D06875C">
      <w:pPr>
        <w:spacing w:line="360" w:lineRule="auto"/>
        <w:ind w:firstLine="562" w:firstLineChars="200"/>
        <w:rPr>
          <w:rFonts w:hint="default" w:ascii="宋体" w:hAnsi="宋体" w:eastAsia="宋体" w:cs="仿宋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仿宋"/>
          <w:b/>
          <w:bCs/>
          <w:sz w:val="28"/>
          <w:szCs w:val="28"/>
          <w:lang w:val="en-US" w:eastAsia="zh-CN"/>
        </w:rPr>
        <w:t>3.1</w:t>
      </w:r>
      <w:r>
        <w:rPr>
          <w:rFonts w:hint="default" w:ascii="宋体" w:hAnsi="宋体" w:eastAsia="宋体" w:cs="仿宋"/>
          <w:b/>
          <w:bCs/>
          <w:sz w:val="28"/>
          <w:szCs w:val="28"/>
          <w:lang w:val="en-US" w:eastAsia="zh-CN"/>
        </w:rPr>
        <w:t>导师团队建设</w:t>
      </w:r>
    </w:p>
    <w:p w14:paraId="481CCA12">
      <w:pPr>
        <w:spacing w:line="360" w:lineRule="auto"/>
        <w:ind w:firstLine="562" w:firstLineChars="200"/>
        <w:rPr>
          <w:rFonts w:hint="default" w:ascii="宋体" w:hAnsi="宋体" w:eastAsia="宋体" w:cs="仿宋"/>
          <w:sz w:val="28"/>
          <w:szCs w:val="28"/>
          <w:lang w:val="en-US" w:eastAsia="zh-CN"/>
        </w:rPr>
      </w:pPr>
      <w:r>
        <w:rPr>
          <w:rFonts w:hint="eastAsia" w:ascii="宋体" w:hAnsi="宋体" w:eastAsia="宋体" w:cs="仿宋"/>
          <w:b/>
          <w:bCs/>
          <w:sz w:val="28"/>
          <w:szCs w:val="28"/>
          <w:lang w:val="en-US" w:eastAsia="zh-CN"/>
        </w:rPr>
        <w:t>（1）</w:t>
      </w:r>
      <w:r>
        <w:rPr>
          <w:rFonts w:hint="default" w:ascii="宋体" w:hAnsi="宋体" w:eastAsia="宋体" w:cs="仿宋"/>
          <w:b/>
          <w:bCs/>
          <w:sz w:val="28"/>
          <w:szCs w:val="28"/>
          <w:lang w:val="en-US" w:eastAsia="zh-CN"/>
        </w:rPr>
        <w:t>高层次人才引进</w:t>
      </w:r>
    </w:p>
    <w:p w14:paraId="20DC3BE5">
      <w:pPr>
        <w:spacing w:line="360" w:lineRule="auto"/>
        <w:ind w:firstLine="562" w:firstLineChars="200"/>
        <w:rPr>
          <w:rFonts w:hint="default" w:ascii="宋体" w:hAnsi="宋体" w:eastAsia="宋体" w:cs="仿宋"/>
          <w:sz w:val="28"/>
          <w:szCs w:val="28"/>
          <w:lang w:val="en-US" w:eastAsia="zh-CN"/>
        </w:rPr>
      </w:pPr>
      <w:r>
        <w:rPr>
          <w:rFonts w:hint="default" w:ascii="宋体" w:hAnsi="宋体" w:eastAsia="宋体" w:cs="仿宋"/>
          <w:b/>
          <w:bCs/>
          <w:sz w:val="28"/>
          <w:szCs w:val="28"/>
          <w:lang w:val="en-US" w:eastAsia="zh-CN"/>
        </w:rPr>
        <w:t>靶向引进：</w:t>
      </w:r>
      <w:r>
        <w:rPr>
          <w:rFonts w:hint="default" w:ascii="宋体" w:hAnsi="宋体" w:eastAsia="宋体" w:cs="仿宋"/>
          <w:sz w:val="28"/>
          <w:szCs w:val="28"/>
          <w:lang w:val="en-US" w:eastAsia="zh-CN"/>
        </w:rPr>
        <w:t>设立“交叉学科特聘教授”岗位，重点引进具有海外学术背景或新兴学科领域（如生物医药大数据、AI辅助诊疗）的领军人才。</w:t>
      </w:r>
      <w:r>
        <w:rPr>
          <w:rFonts w:hint="default" w:ascii="宋体" w:hAnsi="宋体" w:eastAsia="宋体" w:cs="仿宋"/>
          <w:b/>
          <w:bCs/>
          <w:sz w:val="28"/>
          <w:szCs w:val="28"/>
          <w:lang w:val="en-US" w:eastAsia="zh-CN"/>
        </w:rPr>
        <w:t>国际合作：</w:t>
      </w:r>
      <w:r>
        <w:rPr>
          <w:rFonts w:hint="default" w:ascii="宋体" w:hAnsi="宋体" w:eastAsia="宋体" w:cs="仿宋"/>
          <w:sz w:val="28"/>
          <w:szCs w:val="28"/>
          <w:lang w:val="en-US" w:eastAsia="zh-CN"/>
        </w:rPr>
        <w:t>与海外高校/研究机构建立“双聘制”，联合培养青年导师，推动导师团队国际化。</w:t>
      </w:r>
    </w:p>
    <w:p w14:paraId="22028C49">
      <w:pPr>
        <w:spacing w:line="360" w:lineRule="auto"/>
        <w:ind w:firstLine="562" w:firstLineChars="200"/>
        <w:rPr>
          <w:rFonts w:hint="default" w:ascii="宋体" w:hAnsi="宋体" w:eastAsia="宋体" w:cs="仿宋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仿宋"/>
          <w:b/>
          <w:bCs/>
          <w:sz w:val="28"/>
          <w:szCs w:val="28"/>
          <w:lang w:val="en-US" w:eastAsia="zh-CN"/>
        </w:rPr>
        <w:t>（2）</w:t>
      </w:r>
      <w:r>
        <w:rPr>
          <w:rFonts w:hint="default" w:ascii="宋体" w:hAnsi="宋体" w:eastAsia="宋体" w:cs="仿宋"/>
          <w:b/>
          <w:bCs/>
          <w:sz w:val="28"/>
          <w:szCs w:val="28"/>
          <w:lang w:val="en-US" w:eastAsia="zh-CN"/>
        </w:rPr>
        <w:t>学科交叉融合</w:t>
      </w:r>
    </w:p>
    <w:p w14:paraId="6EC67CBE">
      <w:pPr>
        <w:spacing w:line="360" w:lineRule="auto"/>
        <w:ind w:firstLine="560" w:firstLineChars="200"/>
        <w:rPr>
          <w:rFonts w:hint="default" w:ascii="宋体" w:hAnsi="宋体" w:eastAsia="宋体" w:cs="仿宋"/>
          <w:sz w:val="28"/>
          <w:szCs w:val="28"/>
          <w:lang w:val="en-US" w:eastAsia="zh-CN"/>
        </w:rPr>
      </w:pPr>
      <w:r>
        <w:rPr>
          <w:rFonts w:hint="default" w:ascii="宋体" w:hAnsi="宋体" w:eastAsia="宋体" w:cs="仿宋"/>
          <w:sz w:val="28"/>
          <w:szCs w:val="28"/>
          <w:lang w:val="en-US" w:eastAsia="zh-CN"/>
        </w:rPr>
        <w:t>整合多学科资源</w:t>
      </w:r>
      <w:r>
        <w:rPr>
          <w:rFonts w:hint="eastAsia" w:ascii="宋体" w:hAnsi="宋体" w:eastAsia="宋体" w:cs="仿宋"/>
          <w:sz w:val="28"/>
          <w:szCs w:val="28"/>
          <w:lang w:val="en-US" w:eastAsia="zh-CN"/>
        </w:rPr>
        <w:t>，鼓励开展</w:t>
      </w:r>
      <w:r>
        <w:rPr>
          <w:rFonts w:hint="default" w:ascii="宋体" w:hAnsi="宋体" w:eastAsia="宋体" w:cs="仿宋"/>
          <w:sz w:val="28"/>
          <w:szCs w:val="28"/>
          <w:lang w:val="en-US" w:eastAsia="zh-CN"/>
        </w:rPr>
        <w:t>学</w:t>
      </w:r>
      <w:r>
        <w:rPr>
          <w:rFonts w:hint="eastAsia" w:ascii="宋体" w:hAnsi="宋体" w:eastAsia="宋体" w:cs="仿宋"/>
          <w:sz w:val="28"/>
          <w:szCs w:val="28"/>
          <w:lang w:val="en-US" w:eastAsia="zh-CN"/>
        </w:rPr>
        <w:t>多</w:t>
      </w:r>
      <w:r>
        <w:rPr>
          <w:rFonts w:hint="default" w:ascii="宋体" w:hAnsi="宋体" w:eastAsia="宋体" w:cs="仿宋"/>
          <w:sz w:val="28"/>
          <w:szCs w:val="28"/>
          <w:lang w:val="en-US" w:eastAsia="zh-CN"/>
        </w:rPr>
        <w:t>科交叉</w:t>
      </w:r>
      <w:r>
        <w:rPr>
          <w:rFonts w:hint="eastAsia" w:ascii="宋体" w:hAnsi="宋体" w:eastAsia="宋体" w:cs="仿宋"/>
          <w:sz w:val="28"/>
          <w:szCs w:val="28"/>
          <w:lang w:val="en-US" w:eastAsia="zh-CN"/>
        </w:rPr>
        <w:t>开展研究</w:t>
      </w:r>
      <w:r>
        <w:rPr>
          <w:rFonts w:hint="default" w:ascii="宋体" w:hAnsi="宋体" w:eastAsia="宋体" w:cs="仿宋"/>
          <w:sz w:val="28"/>
          <w:szCs w:val="28"/>
          <w:lang w:val="en-US" w:eastAsia="zh-CN"/>
        </w:rPr>
        <w:t>，鼓励传统中医药导师与生物医学、信息工程等领域导师合作申报交叉课题，配套专项经费支持。</w:t>
      </w:r>
    </w:p>
    <w:p w14:paraId="07803920">
      <w:pPr>
        <w:spacing w:line="360" w:lineRule="auto"/>
        <w:ind w:firstLine="562" w:firstLineChars="200"/>
        <w:rPr>
          <w:rFonts w:hint="default" w:ascii="宋体" w:hAnsi="宋体" w:eastAsia="宋体" w:cs="仿宋"/>
          <w:sz w:val="28"/>
          <w:szCs w:val="28"/>
          <w:lang w:val="en-US" w:eastAsia="zh-CN"/>
        </w:rPr>
      </w:pPr>
      <w:r>
        <w:rPr>
          <w:rFonts w:hint="eastAsia" w:ascii="宋体" w:hAnsi="宋体" w:eastAsia="宋体" w:cs="仿宋"/>
          <w:b/>
          <w:bCs/>
          <w:sz w:val="28"/>
          <w:szCs w:val="28"/>
          <w:lang w:val="en-US" w:eastAsia="zh-CN"/>
        </w:rPr>
        <w:t>3.2</w:t>
      </w:r>
      <w:r>
        <w:rPr>
          <w:rFonts w:hint="default" w:ascii="宋体" w:hAnsi="宋体" w:eastAsia="宋体" w:cs="仿宋"/>
          <w:b/>
          <w:bCs/>
          <w:sz w:val="28"/>
          <w:szCs w:val="28"/>
          <w:lang w:val="en-US" w:eastAsia="zh-CN"/>
        </w:rPr>
        <w:t>科研平台建设</w:t>
      </w:r>
    </w:p>
    <w:p w14:paraId="36FC1A10">
      <w:pPr>
        <w:spacing w:line="360" w:lineRule="auto"/>
        <w:ind w:firstLine="562" w:firstLineChars="200"/>
        <w:rPr>
          <w:rFonts w:hint="default" w:ascii="宋体" w:hAnsi="宋体" w:eastAsia="宋体" w:cs="仿宋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仿宋"/>
          <w:b/>
          <w:bCs/>
          <w:sz w:val="28"/>
          <w:szCs w:val="28"/>
          <w:lang w:val="en-US" w:eastAsia="zh-CN"/>
        </w:rPr>
        <w:t>（1）</w:t>
      </w:r>
      <w:r>
        <w:rPr>
          <w:rFonts w:hint="default" w:ascii="宋体" w:hAnsi="宋体" w:eastAsia="宋体" w:cs="仿宋"/>
          <w:b/>
          <w:bCs/>
          <w:sz w:val="28"/>
          <w:szCs w:val="28"/>
          <w:lang w:val="en-US" w:eastAsia="zh-CN"/>
        </w:rPr>
        <w:t>联合实验室建设</w:t>
      </w:r>
    </w:p>
    <w:p w14:paraId="459E7855">
      <w:pPr>
        <w:spacing w:line="360" w:lineRule="auto"/>
        <w:ind w:firstLine="560" w:firstLineChars="200"/>
        <w:rPr>
          <w:rFonts w:hint="default" w:ascii="宋体" w:hAnsi="宋体" w:eastAsia="宋体" w:cs="仿宋"/>
          <w:sz w:val="28"/>
          <w:szCs w:val="28"/>
          <w:lang w:val="en-US" w:eastAsia="zh-CN"/>
        </w:rPr>
      </w:pPr>
      <w:r>
        <w:rPr>
          <w:rFonts w:hint="default" w:ascii="宋体" w:hAnsi="宋体" w:eastAsia="宋体" w:cs="仿宋"/>
          <w:sz w:val="28"/>
          <w:szCs w:val="28"/>
          <w:lang w:val="en-US" w:eastAsia="zh-CN"/>
        </w:rPr>
        <w:t>与</w:t>
      </w:r>
      <w:r>
        <w:rPr>
          <w:rFonts w:hint="eastAsia" w:ascii="宋体" w:hAnsi="宋体" w:eastAsia="宋体" w:cs="仿宋"/>
          <w:sz w:val="28"/>
          <w:szCs w:val="28"/>
          <w:lang w:val="en-US" w:eastAsia="zh-CN"/>
        </w:rPr>
        <w:t>国外大学</w:t>
      </w:r>
      <w:r>
        <w:rPr>
          <w:rFonts w:hint="default" w:ascii="宋体" w:hAnsi="宋体" w:eastAsia="宋体" w:cs="仿宋"/>
          <w:sz w:val="28"/>
          <w:szCs w:val="28"/>
          <w:lang w:val="en-US" w:eastAsia="zh-CN"/>
        </w:rPr>
        <w:t>合作建立</w:t>
      </w:r>
      <w:r>
        <w:rPr>
          <w:rFonts w:hint="eastAsia" w:ascii="宋体" w:hAnsi="宋体" w:eastAsia="宋体" w:cs="仿宋"/>
          <w:sz w:val="28"/>
          <w:szCs w:val="28"/>
          <w:lang w:val="en-US" w:eastAsia="zh-CN"/>
        </w:rPr>
        <w:t>联合实验室</w:t>
      </w:r>
      <w:r>
        <w:rPr>
          <w:rFonts w:hint="default" w:ascii="宋体" w:hAnsi="宋体" w:eastAsia="宋体" w:cs="仿宋"/>
          <w:sz w:val="28"/>
          <w:szCs w:val="28"/>
          <w:lang w:val="en-US" w:eastAsia="zh-CN"/>
        </w:rPr>
        <w:t>，聚焦针灸机理、中药国际标准等前沿领域。</w:t>
      </w:r>
    </w:p>
    <w:p w14:paraId="76371B21">
      <w:pPr>
        <w:spacing w:line="360" w:lineRule="auto"/>
        <w:ind w:firstLine="562" w:firstLineChars="200"/>
        <w:rPr>
          <w:rFonts w:hint="default" w:ascii="宋体" w:hAnsi="宋体" w:eastAsia="宋体" w:cs="仿宋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仿宋"/>
          <w:b/>
          <w:bCs/>
          <w:sz w:val="28"/>
          <w:szCs w:val="28"/>
          <w:lang w:val="en-US" w:eastAsia="zh-CN"/>
        </w:rPr>
        <w:t>（2）</w:t>
      </w:r>
      <w:r>
        <w:rPr>
          <w:rFonts w:hint="default" w:ascii="宋体" w:hAnsi="宋体" w:eastAsia="宋体" w:cs="仿宋"/>
          <w:b/>
          <w:bCs/>
          <w:sz w:val="28"/>
          <w:szCs w:val="28"/>
          <w:lang w:val="en-US" w:eastAsia="zh-CN"/>
        </w:rPr>
        <w:t>人才联合培养</w:t>
      </w:r>
    </w:p>
    <w:p w14:paraId="4DFEC2DA">
      <w:pPr>
        <w:spacing w:line="360" w:lineRule="auto"/>
        <w:ind w:firstLine="560" w:firstLineChars="200"/>
        <w:rPr>
          <w:rFonts w:hint="default" w:ascii="宋体" w:hAnsi="宋体" w:eastAsia="宋体" w:cs="仿宋"/>
          <w:sz w:val="28"/>
          <w:szCs w:val="28"/>
          <w:lang w:val="en-US" w:eastAsia="zh-CN"/>
        </w:rPr>
      </w:pPr>
      <w:r>
        <w:rPr>
          <w:rFonts w:hint="default" w:ascii="宋体" w:hAnsi="宋体" w:eastAsia="宋体" w:cs="仿宋"/>
          <w:sz w:val="28"/>
          <w:szCs w:val="28"/>
          <w:lang w:val="en-US" w:eastAsia="zh-CN"/>
        </w:rPr>
        <w:t>扩大</w:t>
      </w:r>
      <w:r>
        <w:rPr>
          <w:rFonts w:hint="eastAsia" w:ascii="宋体" w:hAnsi="宋体" w:eastAsia="宋体" w:cs="仿宋"/>
          <w:sz w:val="28"/>
          <w:szCs w:val="28"/>
          <w:lang w:val="en-US" w:eastAsia="zh-CN"/>
        </w:rPr>
        <w:t>与国外大学</w:t>
      </w:r>
      <w:r>
        <w:rPr>
          <w:rFonts w:hint="default" w:ascii="宋体" w:hAnsi="宋体" w:eastAsia="宋体" w:cs="仿宋"/>
          <w:sz w:val="28"/>
          <w:szCs w:val="28"/>
          <w:lang w:val="en-US" w:eastAsia="zh-CN"/>
        </w:rPr>
        <w:t>人才联合培养规模，</w:t>
      </w:r>
      <w:r>
        <w:rPr>
          <w:rFonts w:hint="eastAsia" w:ascii="宋体" w:hAnsi="宋体" w:eastAsia="宋体" w:cs="仿宋"/>
          <w:sz w:val="28"/>
          <w:szCs w:val="28"/>
          <w:lang w:val="en-US" w:eastAsia="zh-CN"/>
        </w:rPr>
        <w:t>鼓励研究生积极参与对外人才</w:t>
      </w:r>
      <w:r>
        <w:rPr>
          <w:rFonts w:hint="default" w:ascii="宋体" w:hAnsi="宋体" w:eastAsia="宋体" w:cs="仿宋"/>
          <w:sz w:val="28"/>
          <w:szCs w:val="28"/>
          <w:lang w:val="en-US" w:eastAsia="zh-CN"/>
        </w:rPr>
        <w:t>交流。</w:t>
      </w:r>
    </w:p>
    <w:p w14:paraId="43A71409">
      <w:pPr>
        <w:spacing w:line="360" w:lineRule="auto"/>
        <w:ind w:firstLine="562" w:firstLineChars="200"/>
        <w:rPr>
          <w:rFonts w:hint="default" w:ascii="宋体" w:hAnsi="宋体" w:eastAsia="宋体" w:cs="仿宋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仿宋"/>
          <w:b/>
          <w:bCs/>
          <w:sz w:val="28"/>
          <w:szCs w:val="28"/>
          <w:lang w:val="en-US" w:eastAsia="zh-CN"/>
        </w:rPr>
        <w:t>3.3</w:t>
      </w:r>
      <w:r>
        <w:rPr>
          <w:rFonts w:hint="default" w:ascii="宋体" w:hAnsi="宋体" w:eastAsia="宋体" w:cs="仿宋"/>
          <w:b/>
          <w:bCs/>
          <w:sz w:val="28"/>
          <w:szCs w:val="28"/>
          <w:lang w:val="en-US" w:eastAsia="zh-CN"/>
        </w:rPr>
        <w:t>科学研究工作</w:t>
      </w:r>
    </w:p>
    <w:p w14:paraId="7A2D09D7">
      <w:pPr>
        <w:spacing w:line="360" w:lineRule="auto"/>
        <w:ind w:firstLine="562" w:firstLineChars="200"/>
        <w:rPr>
          <w:rFonts w:hint="default" w:ascii="宋体" w:hAnsi="宋体" w:eastAsia="宋体" w:cs="仿宋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仿宋"/>
          <w:b/>
          <w:bCs/>
          <w:sz w:val="28"/>
          <w:szCs w:val="28"/>
          <w:lang w:val="en-US" w:eastAsia="zh-CN"/>
        </w:rPr>
        <w:t>（1）</w:t>
      </w:r>
      <w:r>
        <w:rPr>
          <w:rFonts w:hint="default" w:ascii="宋体" w:hAnsi="宋体" w:eastAsia="宋体" w:cs="仿宋"/>
          <w:b/>
          <w:bCs/>
          <w:sz w:val="28"/>
          <w:szCs w:val="28"/>
          <w:lang w:val="en-US" w:eastAsia="zh-CN"/>
        </w:rPr>
        <w:t>横向课题经费提升</w:t>
      </w:r>
    </w:p>
    <w:p w14:paraId="28C219DD">
      <w:pPr>
        <w:spacing w:line="360" w:lineRule="auto"/>
        <w:ind w:firstLine="560" w:firstLineChars="200"/>
        <w:rPr>
          <w:rFonts w:hint="default" w:ascii="宋体" w:hAnsi="宋体" w:eastAsia="宋体" w:cs="仿宋"/>
          <w:sz w:val="28"/>
          <w:szCs w:val="28"/>
          <w:lang w:val="en-US" w:eastAsia="zh-CN"/>
        </w:rPr>
      </w:pPr>
      <w:r>
        <w:rPr>
          <w:rFonts w:hint="eastAsia" w:ascii="宋体" w:hAnsi="宋体" w:eastAsia="宋体" w:cs="仿宋"/>
          <w:sz w:val="28"/>
          <w:szCs w:val="28"/>
          <w:lang w:val="en-US" w:eastAsia="zh-CN"/>
        </w:rPr>
        <w:t>鼓励</w:t>
      </w:r>
      <w:r>
        <w:rPr>
          <w:rFonts w:hint="default" w:ascii="宋体" w:hAnsi="宋体" w:eastAsia="宋体" w:cs="仿宋"/>
          <w:sz w:val="28"/>
          <w:szCs w:val="28"/>
          <w:lang w:val="en-US" w:eastAsia="zh-CN"/>
        </w:rPr>
        <w:t>产学研</w:t>
      </w:r>
      <w:r>
        <w:rPr>
          <w:rFonts w:hint="eastAsia" w:ascii="宋体" w:hAnsi="宋体" w:eastAsia="宋体" w:cs="仿宋"/>
          <w:sz w:val="28"/>
          <w:szCs w:val="28"/>
          <w:lang w:val="en-US" w:eastAsia="zh-CN"/>
        </w:rPr>
        <w:t>合作</w:t>
      </w:r>
      <w:r>
        <w:rPr>
          <w:rFonts w:hint="default" w:ascii="宋体" w:hAnsi="宋体" w:eastAsia="宋体" w:cs="仿宋"/>
          <w:sz w:val="28"/>
          <w:szCs w:val="28"/>
          <w:lang w:val="en-US" w:eastAsia="zh-CN"/>
        </w:rPr>
        <w:t>：</w:t>
      </w:r>
      <w:r>
        <w:rPr>
          <w:rFonts w:hint="eastAsia" w:ascii="宋体" w:hAnsi="宋体" w:eastAsia="宋体" w:cs="仿宋"/>
          <w:sz w:val="28"/>
          <w:szCs w:val="28"/>
          <w:lang w:val="en-US" w:eastAsia="zh-CN"/>
        </w:rPr>
        <w:t>加强与行业企业的合作，建立产学研合作基地，推动科研成果的转化和应用</w:t>
      </w:r>
      <w:r>
        <w:rPr>
          <w:rFonts w:hint="default" w:ascii="宋体" w:hAnsi="宋体" w:eastAsia="宋体" w:cs="仿宋"/>
          <w:sz w:val="28"/>
          <w:szCs w:val="28"/>
          <w:lang w:val="en-US" w:eastAsia="zh-CN"/>
        </w:rPr>
        <w:t>。</w:t>
      </w:r>
    </w:p>
    <w:p w14:paraId="68CC65ED">
      <w:pPr>
        <w:spacing w:line="360" w:lineRule="auto"/>
        <w:ind w:firstLine="560" w:firstLineChars="200"/>
        <w:rPr>
          <w:rFonts w:hint="default" w:ascii="宋体" w:hAnsi="宋体" w:eastAsia="宋体" w:cs="仿宋"/>
          <w:sz w:val="28"/>
          <w:szCs w:val="28"/>
          <w:lang w:val="en-US" w:eastAsia="zh-CN"/>
        </w:rPr>
      </w:pPr>
      <w:r>
        <w:rPr>
          <w:rFonts w:hint="default" w:ascii="宋体" w:hAnsi="宋体" w:eastAsia="宋体" w:cs="仿宋"/>
          <w:sz w:val="28"/>
          <w:szCs w:val="28"/>
          <w:lang w:val="en-US" w:eastAsia="zh-CN"/>
        </w:rPr>
        <w:t>成果转化激励：提高横向课题成果转化</w:t>
      </w:r>
      <w:r>
        <w:rPr>
          <w:rFonts w:hint="eastAsia" w:ascii="宋体" w:hAnsi="宋体" w:eastAsia="宋体" w:cs="仿宋"/>
          <w:sz w:val="28"/>
          <w:szCs w:val="28"/>
          <w:lang w:val="en-US" w:eastAsia="zh-CN"/>
        </w:rPr>
        <w:t>奖励机制</w:t>
      </w:r>
      <w:r>
        <w:rPr>
          <w:rFonts w:hint="default" w:ascii="宋体" w:hAnsi="宋体" w:eastAsia="宋体" w:cs="仿宋"/>
          <w:sz w:val="28"/>
          <w:szCs w:val="28"/>
          <w:lang w:val="en-US" w:eastAsia="zh-CN"/>
        </w:rPr>
        <w:t>，激发导师参与企业合作动力。</w:t>
      </w:r>
    </w:p>
    <w:p w14:paraId="1EA84317">
      <w:pPr>
        <w:spacing w:line="360" w:lineRule="auto"/>
        <w:ind w:firstLine="562" w:firstLineChars="200"/>
        <w:rPr>
          <w:rFonts w:hint="default" w:ascii="宋体" w:hAnsi="宋体" w:eastAsia="宋体" w:cs="仿宋"/>
          <w:sz w:val="28"/>
          <w:szCs w:val="28"/>
          <w:lang w:val="en-US" w:eastAsia="zh-CN"/>
        </w:rPr>
      </w:pPr>
      <w:r>
        <w:rPr>
          <w:rFonts w:hint="eastAsia" w:ascii="宋体" w:hAnsi="宋体" w:eastAsia="宋体" w:cs="仿宋"/>
          <w:b/>
          <w:bCs/>
          <w:sz w:val="28"/>
          <w:szCs w:val="28"/>
          <w:lang w:val="en-US" w:eastAsia="zh-CN"/>
        </w:rPr>
        <w:t>（2）</w:t>
      </w:r>
      <w:r>
        <w:rPr>
          <w:rFonts w:hint="default" w:ascii="宋体" w:hAnsi="宋体" w:eastAsia="宋体" w:cs="仿宋"/>
          <w:b/>
          <w:bCs/>
          <w:sz w:val="28"/>
          <w:szCs w:val="28"/>
          <w:lang w:val="en-US" w:eastAsia="zh-CN"/>
        </w:rPr>
        <w:t>国家级项目竞争力</w:t>
      </w:r>
    </w:p>
    <w:p w14:paraId="3C7F7E2D">
      <w:pPr>
        <w:spacing w:line="360" w:lineRule="auto"/>
        <w:ind w:firstLine="560" w:firstLineChars="200"/>
        <w:rPr>
          <w:rFonts w:hint="default" w:ascii="宋体" w:hAnsi="宋体" w:eastAsia="宋体" w:cs="仿宋"/>
          <w:sz w:val="28"/>
          <w:szCs w:val="28"/>
          <w:lang w:val="en-US" w:eastAsia="zh-CN"/>
        </w:rPr>
      </w:pPr>
      <w:r>
        <w:rPr>
          <w:rFonts w:hint="default" w:ascii="宋体" w:hAnsi="宋体" w:eastAsia="宋体" w:cs="仿宋"/>
          <w:sz w:val="28"/>
          <w:szCs w:val="28"/>
          <w:lang w:val="en-US" w:eastAsia="zh-CN"/>
        </w:rPr>
        <w:t>申报团队培育：加强国家级项目申报指导，组建专项团队分析政策导向，整合优势资源凝练重大研究方向。</w:t>
      </w:r>
    </w:p>
    <w:p w14:paraId="6E11955E">
      <w:pPr>
        <w:spacing w:line="360" w:lineRule="auto"/>
        <w:ind w:firstLine="560" w:firstLineChars="200"/>
        <w:rPr>
          <w:rFonts w:hint="default" w:ascii="宋体" w:hAnsi="宋体" w:eastAsia="宋体" w:cs="仿宋"/>
          <w:sz w:val="28"/>
          <w:szCs w:val="28"/>
          <w:lang w:val="en-US" w:eastAsia="zh-CN"/>
        </w:rPr>
      </w:pPr>
      <w:r>
        <w:rPr>
          <w:rFonts w:hint="default" w:ascii="宋体" w:hAnsi="宋体" w:eastAsia="宋体" w:cs="仿宋"/>
          <w:sz w:val="28"/>
          <w:szCs w:val="28"/>
          <w:lang w:val="en-US" w:eastAsia="zh-CN"/>
        </w:rPr>
        <w:t>青年人才托举：设立青年教师科研培育计划，支持其参与高水平科研项目，积累经验，提升国家级项目申报能力。</w:t>
      </w:r>
    </w:p>
    <w:p w14:paraId="674D4D73">
      <w:pPr>
        <w:spacing w:line="360" w:lineRule="auto"/>
        <w:ind w:firstLine="562" w:firstLineChars="200"/>
        <w:rPr>
          <w:rFonts w:hint="default" w:ascii="宋体" w:hAnsi="宋体" w:eastAsia="宋体" w:cs="仿宋"/>
          <w:sz w:val="28"/>
          <w:szCs w:val="28"/>
          <w:lang w:val="en-US" w:eastAsia="zh-CN"/>
        </w:rPr>
      </w:pPr>
      <w:r>
        <w:rPr>
          <w:rFonts w:hint="eastAsia" w:ascii="宋体" w:hAnsi="宋体" w:eastAsia="宋体" w:cs="仿宋"/>
          <w:b/>
          <w:bCs/>
          <w:sz w:val="28"/>
          <w:szCs w:val="28"/>
          <w:lang w:val="en-US" w:eastAsia="zh-CN"/>
        </w:rPr>
        <w:t>3.4</w:t>
      </w:r>
      <w:r>
        <w:rPr>
          <w:rFonts w:hint="default" w:ascii="宋体" w:hAnsi="宋体" w:eastAsia="宋体" w:cs="仿宋"/>
          <w:b/>
          <w:bCs/>
          <w:sz w:val="28"/>
          <w:szCs w:val="28"/>
          <w:lang w:val="en-US" w:eastAsia="zh-CN"/>
        </w:rPr>
        <w:t>学位论文质量提升</w:t>
      </w:r>
    </w:p>
    <w:p w14:paraId="7BEDD830">
      <w:pPr>
        <w:spacing w:line="360" w:lineRule="auto"/>
        <w:ind w:firstLine="562" w:firstLineChars="200"/>
        <w:rPr>
          <w:rFonts w:hint="default" w:ascii="宋体" w:hAnsi="宋体" w:eastAsia="宋体" w:cs="仿宋"/>
          <w:sz w:val="28"/>
          <w:szCs w:val="28"/>
          <w:lang w:val="en-US" w:eastAsia="zh-CN"/>
        </w:rPr>
      </w:pPr>
      <w:r>
        <w:rPr>
          <w:rFonts w:hint="eastAsia" w:ascii="宋体" w:hAnsi="宋体" w:eastAsia="宋体" w:cs="仿宋"/>
          <w:b/>
          <w:bCs/>
          <w:sz w:val="28"/>
          <w:szCs w:val="28"/>
          <w:lang w:val="en-US" w:eastAsia="zh-CN"/>
        </w:rPr>
        <w:t>（1）</w:t>
      </w:r>
      <w:r>
        <w:rPr>
          <w:rFonts w:hint="default" w:ascii="宋体" w:hAnsi="宋体" w:eastAsia="宋体" w:cs="仿宋"/>
          <w:b/>
          <w:bCs/>
          <w:sz w:val="28"/>
          <w:szCs w:val="28"/>
          <w:lang w:val="en-US" w:eastAsia="zh-CN"/>
        </w:rPr>
        <w:t>评审专家标准化</w:t>
      </w:r>
    </w:p>
    <w:p w14:paraId="5FF8B599">
      <w:pPr>
        <w:spacing w:line="360" w:lineRule="auto"/>
        <w:ind w:firstLine="560" w:firstLineChars="200"/>
        <w:rPr>
          <w:rFonts w:hint="default" w:ascii="宋体" w:hAnsi="宋体" w:eastAsia="宋体" w:cs="仿宋"/>
          <w:sz w:val="28"/>
          <w:szCs w:val="28"/>
          <w:lang w:val="en-US" w:eastAsia="zh-CN"/>
        </w:rPr>
      </w:pPr>
      <w:r>
        <w:rPr>
          <w:rFonts w:hint="default" w:ascii="宋体" w:hAnsi="宋体" w:eastAsia="宋体" w:cs="仿宋"/>
          <w:sz w:val="28"/>
          <w:szCs w:val="28"/>
          <w:lang w:val="en-US" w:eastAsia="zh-CN"/>
        </w:rPr>
        <w:t>分层专家库：按学科领域、研究方向细分专家库，遴选近三年主持国家级项目的专家进入“核心评审池”。</w:t>
      </w:r>
    </w:p>
    <w:p w14:paraId="20F8A3BC">
      <w:pPr>
        <w:spacing w:line="360" w:lineRule="auto"/>
        <w:ind w:firstLine="560" w:firstLineChars="200"/>
        <w:rPr>
          <w:rFonts w:hint="default" w:ascii="宋体" w:hAnsi="宋体" w:eastAsia="宋体" w:cs="仿宋"/>
          <w:sz w:val="28"/>
          <w:szCs w:val="28"/>
          <w:lang w:val="en-US" w:eastAsia="zh-CN"/>
        </w:rPr>
      </w:pPr>
      <w:r>
        <w:rPr>
          <w:rFonts w:hint="default" w:ascii="宋体" w:hAnsi="宋体" w:eastAsia="宋体" w:cs="仿宋"/>
          <w:sz w:val="28"/>
          <w:szCs w:val="28"/>
          <w:lang w:val="en-US" w:eastAsia="zh-CN"/>
        </w:rPr>
        <w:t>优化</w:t>
      </w:r>
      <w:r>
        <w:rPr>
          <w:rFonts w:hint="eastAsia" w:ascii="宋体" w:hAnsi="宋体" w:eastAsia="宋体" w:cs="仿宋"/>
          <w:sz w:val="28"/>
          <w:szCs w:val="28"/>
          <w:lang w:val="en-US" w:eastAsia="zh-CN"/>
        </w:rPr>
        <w:t>评审专家</w:t>
      </w:r>
      <w:r>
        <w:rPr>
          <w:rFonts w:hint="default" w:ascii="宋体" w:hAnsi="宋体" w:eastAsia="宋体" w:cs="仿宋"/>
          <w:sz w:val="28"/>
          <w:szCs w:val="28"/>
          <w:lang w:val="en-US" w:eastAsia="zh-CN"/>
        </w:rPr>
        <w:t>：引入“评审质量评分制”</w:t>
      </w:r>
      <w:r>
        <w:rPr>
          <w:rFonts w:hint="eastAsia" w:ascii="宋体" w:hAnsi="宋体" w:eastAsia="宋体" w:cs="仿宋"/>
          <w:sz w:val="28"/>
          <w:szCs w:val="28"/>
          <w:lang w:val="en-US" w:eastAsia="zh-CN"/>
        </w:rPr>
        <w:t>，</w:t>
      </w:r>
      <w:r>
        <w:rPr>
          <w:rFonts w:hint="default" w:ascii="宋体" w:hAnsi="宋体" w:eastAsia="宋体" w:cs="仿宋"/>
          <w:sz w:val="28"/>
          <w:szCs w:val="28"/>
          <w:lang w:val="en-US" w:eastAsia="zh-CN"/>
        </w:rPr>
        <w:t>定期对评审专家进行培训和考核，提升评审的严谨性和公正性。</w:t>
      </w:r>
    </w:p>
    <w:p w14:paraId="0A8CCCC5">
      <w:pPr>
        <w:spacing w:line="360" w:lineRule="auto"/>
        <w:ind w:firstLine="562" w:firstLineChars="200"/>
        <w:rPr>
          <w:rFonts w:hint="default" w:ascii="宋体" w:hAnsi="宋体" w:eastAsia="宋体" w:cs="仿宋"/>
          <w:sz w:val="28"/>
          <w:szCs w:val="28"/>
          <w:lang w:val="en-US" w:eastAsia="zh-CN"/>
        </w:rPr>
      </w:pPr>
      <w:r>
        <w:rPr>
          <w:rFonts w:hint="eastAsia" w:ascii="宋体" w:hAnsi="宋体" w:eastAsia="宋体" w:cs="仿宋"/>
          <w:b/>
          <w:bCs/>
          <w:sz w:val="28"/>
          <w:szCs w:val="28"/>
          <w:lang w:val="en-US" w:eastAsia="zh-CN"/>
        </w:rPr>
        <w:t>（2）</w:t>
      </w:r>
      <w:r>
        <w:rPr>
          <w:rFonts w:hint="default" w:ascii="宋体" w:hAnsi="宋体" w:eastAsia="宋体" w:cs="仿宋"/>
          <w:b/>
          <w:bCs/>
          <w:sz w:val="28"/>
          <w:szCs w:val="28"/>
          <w:lang w:val="en-US" w:eastAsia="zh-CN"/>
        </w:rPr>
        <w:t>优秀论文培育</w:t>
      </w:r>
    </w:p>
    <w:p w14:paraId="325ADEA6">
      <w:pPr>
        <w:spacing w:line="360" w:lineRule="auto"/>
        <w:ind w:firstLine="560" w:firstLineChars="200"/>
        <w:rPr>
          <w:rFonts w:hint="default" w:ascii="宋体" w:hAnsi="宋体" w:eastAsia="宋体" w:cs="仿宋"/>
          <w:sz w:val="28"/>
          <w:szCs w:val="28"/>
          <w:lang w:val="en-US" w:eastAsia="zh-CN"/>
        </w:rPr>
      </w:pPr>
      <w:r>
        <w:rPr>
          <w:rFonts w:hint="eastAsia" w:ascii="宋体" w:hAnsi="宋体" w:eastAsia="宋体" w:cs="仿宋"/>
          <w:sz w:val="28"/>
          <w:szCs w:val="28"/>
          <w:lang w:val="en-US" w:eastAsia="zh-CN"/>
        </w:rPr>
        <w:t>资源支持</w:t>
      </w:r>
      <w:r>
        <w:rPr>
          <w:rFonts w:hint="default" w:ascii="宋体" w:hAnsi="宋体" w:eastAsia="宋体" w:cs="仿宋"/>
          <w:sz w:val="28"/>
          <w:szCs w:val="28"/>
          <w:lang w:val="en-US" w:eastAsia="zh-CN"/>
        </w:rPr>
        <w:t>：加强研究生科研能力的培养，提供更多的科研资源和平台支持，鼓励研究生开展高水平研究。</w:t>
      </w:r>
    </w:p>
    <w:p w14:paraId="2CB8CEC7">
      <w:pPr>
        <w:spacing w:line="360" w:lineRule="auto"/>
        <w:ind w:firstLine="560" w:firstLineChars="200"/>
        <w:rPr>
          <w:rFonts w:hint="default" w:ascii="宋体" w:hAnsi="宋体" w:eastAsia="宋体" w:cs="仿宋"/>
          <w:sz w:val="28"/>
          <w:szCs w:val="28"/>
          <w:lang w:val="en-US" w:eastAsia="zh-CN"/>
        </w:rPr>
      </w:pPr>
      <w:r>
        <w:rPr>
          <w:rFonts w:hint="default" w:ascii="宋体" w:hAnsi="宋体" w:eastAsia="宋体" w:cs="仿宋"/>
          <w:sz w:val="28"/>
          <w:szCs w:val="28"/>
          <w:lang w:val="en-US" w:eastAsia="zh-CN"/>
        </w:rPr>
        <w:t>国际对标：鼓励论文投稿国际顶刊，对发表</w:t>
      </w:r>
      <w:r>
        <w:rPr>
          <w:rFonts w:hint="eastAsia" w:ascii="宋体" w:hAnsi="宋体" w:eastAsia="宋体" w:cs="仿宋"/>
          <w:sz w:val="28"/>
          <w:szCs w:val="28"/>
          <w:lang w:val="en-US" w:eastAsia="zh-CN"/>
        </w:rPr>
        <w:t>高级别</w:t>
      </w:r>
      <w:r>
        <w:rPr>
          <w:rFonts w:hint="default" w:ascii="宋体" w:hAnsi="宋体" w:eastAsia="宋体" w:cs="仿宋"/>
          <w:sz w:val="28"/>
          <w:szCs w:val="28"/>
          <w:lang w:val="en-US" w:eastAsia="zh-CN"/>
        </w:rPr>
        <w:t>的论文给予配套奖励，纳入导师绩效考核。</w:t>
      </w:r>
    </w:p>
    <w:p w14:paraId="4F8C4BE3">
      <w:pPr>
        <w:spacing w:after="156" w:afterLines="50" w:line="560" w:lineRule="exact"/>
        <w:jc w:val="left"/>
        <w:rPr>
          <w:rFonts w:ascii="Times New Roman" w:hAnsi="Times New Roman" w:eastAsia="方正小标宋简体"/>
          <w:b/>
          <w:sz w:val="32"/>
          <w:szCs w:val="32"/>
        </w:rPr>
      </w:pPr>
      <w:r>
        <w:rPr>
          <w:rFonts w:hint="eastAsia" w:ascii="Times New Roman" w:hAnsi="Times New Roman" w:eastAsia="方正小标宋简体"/>
          <w:b/>
          <w:sz w:val="32"/>
          <w:szCs w:val="32"/>
        </w:rPr>
        <w:t>四、下一年度建设计划</w:t>
      </w:r>
    </w:p>
    <w:p w14:paraId="259719B0">
      <w:pPr>
        <w:spacing w:line="360" w:lineRule="auto"/>
        <w:ind w:firstLine="562" w:firstLineChars="200"/>
        <w:rPr>
          <w:rFonts w:hint="default" w:ascii="宋体" w:hAnsi="宋体" w:eastAsia="宋体" w:cs="仿宋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仿宋"/>
          <w:b/>
          <w:bCs/>
          <w:sz w:val="28"/>
          <w:szCs w:val="28"/>
          <w:lang w:val="en-US" w:eastAsia="zh-CN"/>
        </w:rPr>
        <w:t>（一）</w:t>
      </w:r>
      <w:r>
        <w:rPr>
          <w:rFonts w:hint="default" w:ascii="宋体" w:hAnsi="宋体" w:eastAsia="宋体" w:cs="仿宋"/>
          <w:b/>
          <w:bCs/>
          <w:sz w:val="28"/>
          <w:szCs w:val="28"/>
          <w:lang w:val="en-US" w:eastAsia="zh-CN"/>
        </w:rPr>
        <w:t>师资队伍建设：强化高端引领与学科交叉</w:t>
      </w:r>
    </w:p>
    <w:p w14:paraId="5E6E6393">
      <w:pPr>
        <w:spacing w:line="360" w:lineRule="auto"/>
        <w:ind w:firstLine="562" w:firstLineChars="200"/>
        <w:rPr>
          <w:rFonts w:hint="default" w:ascii="宋体" w:hAnsi="宋体" w:eastAsia="宋体" w:cs="仿宋"/>
          <w:sz w:val="28"/>
          <w:szCs w:val="28"/>
          <w:lang w:val="en-US" w:eastAsia="zh-CN"/>
        </w:rPr>
      </w:pPr>
      <w:r>
        <w:rPr>
          <w:rFonts w:hint="default" w:ascii="宋体" w:hAnsi="宋体" w:eastAsia="宋体" w:cs="仿宋"/>
          <w:b/>
          <w:bCs/>
          <w:sz w:val="28"/>
          <w:szCs w:val="28"/>
          <w:lang w:val="en-US" w:eastAsia="zh-CN"/>
        </w:rPr>
        <w:t>1</w:t>
      </w:r>
      <w:r>
        <w:rPr>
          <w:rFonts w:hint="eastAsia" w:ascii="宋体" w:hAnsi="宋体" w:eastAsia="宋体" w:cs="仿宋"/>
          <w:b/>
          <w:bCs/>
          <w:sz w:val="28"/>
          <w:szCs w:val="28"/>
          <w:lang w:val="en-US" w:eastAsia="zh-CN"/>
        </w:rPr>
        <w:t>.1</w:t>
      </w:r>
      <w:r>
        <w:rPr>
          <w:rFonts w:hint="default" w:ascii="宋体" w:hAnsi="宋体" w:eastAsia="宋体" w:cs="仿宋"/>
          <w:b/>
          <w:bCs/>
          <w:sz w:val="28"/>
          <w:szCs w:val="28"/>
          <w:lang w:val="en-US" w:eastAsia="zh-CN"/>
        </w:rPr>
        <w:t>引进高层次人才</w:t>
      </w:r>
    </w:p>
    <w:p w14:paraId="756C70C7">
      <w:pPr>
        <w:spacing w:line="360" w:lineRule="auto"/>
        <w:ind w:firstLine="560" w:firstLineChars="200"/>
        <w:rPr>
          <w:rFonts w:hint="default" w:ascii="宋体" w:hAnsi="宋体" w:eastAsia="宋体" w:cs="仿宋"/>
          <w:sz w:val="28"/>
          <w:szCs w:val="28"/>
          <w:lang w:val="en-US" w:eastAsia="zh-CN"/>
        </w:rPr>
      </w:pPr>
      <w:r>
        <w:rPr>
          <w:rFonts w:hint="default" w:ascii="宋体" w:hAnsi="宋体" w:eastAsia="宋体" w:cs="仿宋"/>
          <w:sz w:val="28"/>
          <w:szCs w:val="28"/>
          <w:lang w:val="en-US" w:eastAsia="zh-CN"/>
        </w:rPr>
        <w:t>制定国际化人才引进计划，面向全球招聘具有中医药与现代科学交叉背景的领军人才（如中医药人工智能、生物医学工程方向），力争引进 2-3 名具有国际影响力的学科带头人。</w:t>
      </w:r>
    </w:p>
    <w:p w14:paraId="0B10239F">
      <w:pPr>
        <w:spacing w:line="360" w:lineRule="auto"/>
        <w:ind w:firstLine="560" w:firstLineChars="200"/>
        <w:rPr>
          <w:rFonts w:hint="default" w:ascii="宋体" w:hAnsi="宋体" w:eastAsia="宋体" w:cs="仿宋"/>
          <w:sz w:val="28"/>
          <w:szCs w:val="28"/>
          <w:lang w:val="en-US" w:eastAsia="zh-CN"/>
        </w:rPr>
      </w:pPr>
      <w:r>
        <w:rPr>
          <w:rFonts w:hint="default" w:ascii="宋体" w:hAnsi="宋体" w:eastAsia="宋体" w:cs="仿宋"/>
          <w:sz w:val="28"/>
          <w:szCs w:val="28"/>
          <w:lang w:val="en-US" w:eastAsia="zh-CN"/>
        </w:rPr>
        <w:t>设立“海外学者特聘岗位”，吸引具有海外知名高校或科研机构工作经历的优秀人才加盟，提升师资队伍的国际视野。</w:t>
      </w:r>
    </w:p>
    <w:p w14:paraId="6895D058">
      <w:pPr>
        <w:spacing w:line="360" w:lineRule="auto"/>
        <w:ind w:firstLine="562" w:firstLineChars="200"/>
        <w:rPr>
          <w:rFonts w:hint="default" w:ascii="宋体" w:hAnsi="宋体" w:eastAsia="宋体" w:cs="仿宋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仿宋"/>
          <w:b/>
          <w:bCs/>
          <w:sz w:val="28"/>
          <w:szCs w:val="28"/>
          <w:lang w:val="en-US" w:eastAsia="zh-CN"/>
        </w:rPr>
        <w:t>1.2</w:t>
      </w:r>
      <w:r>
        <w:rPr>
          <w:rFonts w:hint="default" w:ascii="宋体" w:hAnsi="宋体" w:eastAsia="宋体" w:cs="仿宋"/>
          <w:b/>
          <w:bCs/>
          <w:sz w:val="28"/>
          <w:szCs w:val="28"/>
          <w:lang w:val="en-US" w:eastAsia="zh-CN"/>
        </w:rPr>
        <w:t>促进学科交叉融合</w:t>
      </w:r>
    </w:p>
    <w:p w14:paraId="1F334E58">
      <w:pPr>
        <w:spacing w:line="360" w:lineRule="auto"/>
        <w:ind w:firstLine="560" w:firstLineChars="200"/>
        <w:rPr>
          <w:rFonts w:hint="default" w:ascii="宋体" w:hAnsi="宋体" w:eastAsia="宋体" w:cs="仿宋"/>
          <w:sz w:val="28"/>
          <w:szCs w:val="28"/>
          <w:lang w:val="en-US" w:eastAsia="zh-CN"/>
        </w:rPr>
      </w:pPr>
      <w:r>
        <w:rPr>
          <w:rFonts w:hint="default" w:ascii="宋体" w:hAnsi="宋体" w:eastAsia="宋体" w:cs="仿宋"/>
          <w:sz w:val="28"/>
          <w:szCs w:val="28"/>
          <w:lang w:val="en-US" w:eastAsia="zh-CN"/>
        </w:rPr>
        <w:t>鼓励现有导师与生物医学、大数据、人工智能等领域的专家开展跨学科合作，组建跨学科创新团队，围绕中医药现代化关键科学问题开展联合攻关。</w:t>
      </w:r>
    </w:p>
    <w:p w14:paraId="57423FD1">
      <w:pPr>
        <w:spacing w:line="360" w:lineRule="auto"/>
        <w:ind w:firstLine="560" w:firstLineChars="200"/>
        <w:rPr>
          <w:rFonts w:hint="default" w:ascii="宋体" w:hAnsi="宋体" w:eastAsia="宋体" w:cs="仿宋"/>
          <w:sz w:val="28"/>
          <w:szCs w:val="28"/>
          <w:lang w:val="en-US" w:eastAsia="zh-CN"/>
        </w:rPr>
      </w:pPr>
      <w:r>
        <w:rPr>
          <w:rFonts w:hint="default" w:ascii="宋体" w:hAnsi="宋体" w:eastAsia="宋体" w:cs="仿宋"/>
          <w:sz w:val="28"/>
          <w:szCs w:val="28"/>
          <w:lang w:val="en-US" w:eastAsia="zh-CN"/>
        </w:rPr>
        <w:t>组织教师参加交叉学科培训与学术交流，支持教师赴国内外高水平科研机构进行短期研修，提升跨学科研究能力。</w:t>
      </w:r>
    </w:p>
    <w:p w14:paraId="2AA8FED6">
      <w:pPr>
        <w:spacing w:line="360" w:lineRule="auto"/>
        <w:ind w:firstLine="562" w:firstLineChars="200"/>
        <w:rPr>
          <w:rFonts w:hint="default" w:ascii="宋体" w:hAnsi="宋体" w:eastAsia="宋体" w:cs="仿宋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仿宋"/>
          <w:b/>
          <w:bCs/>
          <w:sz w:val="28"/>
          <w:szCs w:val="28"/>
          <w:lang w:val="en-US" w:eastAsia="zh-CN"/>
        </w:rPr>
        <w:t>1.3</w:t>
      </w:r>
      <w:r>
        <w:rPr>
          <w:rFonts w:hint="default" w:ascii="宋体" w:hAnsi="宋体" w:eastAsia="宋体" w:cs="仿宋"/>
          <w:b/>
          <w:bCs/>
          <w:sz w:val="28"/>
          <w:szCs w:val="28"/>
          <w:lang w:val="en-US" w:eastAsia="zh-CN"/>
        </w:rPr>
        <w:t>优化师资发展机制</w:t>
      </w:r>
    </w:p>
    <w:p w14:paraId="19EF6CDE">
      <w:pPr>
        <w:spacing w:line="360" w:lineRule="auto"/>
        <w:ind w:firstLine="560" w:firstLineChars="200"/>
        <w:rPr>
          <w:rFonts w:hint="default" w:ascii="宋体" w:hAnsi="宋体" w:eastAsia="宋体" w:cs="仿宋"/>
          <w:sz w:val="28"/>
          <w:szCs w:val="28"/>
          <w:lang w:val="en-US" w:eastAsia="zh-CN"/>
        </w:rPr>
      </w:pPr>
      <w:r>
        <w:rPr>
          <w:rFonts w:hint="default" w:ascii="宋体" w:hAnsi="宋体" w:eastAsia="宋体" w:cs="仿宋"/>
          <w:sz w:val="28"/>
          <w:szCs w:val="28"/>
          <w:lang w:val="en-US" w:eastAsia="zh-CN"/>
        </w:rPr>
        <w:t>实施 “青年教师成长计划”，为青年教师配备学术导师，提供科研启动经费支持，鼓励其参与国家级科研项目。</w:t>
      </w:r>
    </w:p>
    <w:p w14:paraId="64342A29">
      <w:pPr>
        <w:spacing w:line="360" w:lineRule="auto"/>
        <w:ind w:firstLine="560" w:firstLineChars="200"/>
        <w:rPr>
          <w:rFonts w:hint="default" w:ascii="宋体" w:hAnsi="宋体" w:eastAsia="宋体" w:cs="仿宋"/>
          <w:sz w:val="28"/>
          <w:szCs w:val="28"/>
          <w:lang w:val="en-US" w:eastAsia="zh-CN"/>
        </w:rPr>
      </w:pPr>
      <w:r>
        <w:rPr>
          <w:rFonts w:hint="default" w:ascii="宋体" w:hAnsi="宋体" w:eastAsia="宋体" w:cs="仿宋"/>
          <w:sz w:val="28"/>
          <w:szCs w:val="28"/>
          <w:lang w:val="en-US" w:eastAsia="zh-CN"/>
        </w:rPr>
        <w:t>完善教师考核评价体系，将跨学科研究、国际合作成果纳入考核指标，激发教师创新活力。</w:t>
      </w:r>
    </w:p>
    <w:p w14:paraId="45A73F74">
      <w:pPr>
        <w:spacing w:line="360" w:lineRule="auto"/>
        <w:ind w:firstLine="562" w:firstLineChars="200"/>
        <w:rPr>
          <w:rFonts w:hint="default" w:ascii="宋体" w:hAnsi="宋体" w:eastAsia="宋体" w:cs="仿宋"/>
          <w:sz w:val="28"/>
          <w:szCs w:val="28"/>
          <w:lang w:val="en-US" w:eastAsia="zh-CN"/>
        </w:rPr>
      </w:pPr>
      <w:r>
        <w:rPr>
          <w:rFonts w:hint="eastAsia" w:ascii="宋体" w:hAnsi="宋体" w:eastAsia="宋体" w:cs="仿宋"/>
          <w:b/>
          <w:bCs/>
          <w:sz w:val="28"/>
          <w:szCs w:val="28"/>
          <w:lang w:val="en-US" w:eastAsia="zh-CN"/>
        </w:rPr>
        <w:t>（二）</w:t>
      </w:r>
      <w:r>
        <w:rPr>
          <w:rFonts w:hint="default" w:ascii="宋体" w:hAnsi="宋体" w:eastAsia="宋体" w:cs="仿宋"/>
          <w:b/>
          <w:bCs/>
          <w:sz w:val="28"/>
          <w:szCs w:val="28"/>
          <w:lang w:val="en-US" w:eastAsia="zh-CN"/>
        </w:rPr>
        <w:t>成果产出：聚焦高水平科研与学术影响力</w:t>
      </w:r>
    </w:p>
    <w:p w14:paraId="4884E9C8">
      <w:pPr>
        <w:spacing w:line="360" w:lineRule="auto"/>
        <w:ind w:firstLine="562" w:firstLineChars="200"/>
        <w:rPr>
          <w:rFonts w:hint="default" w:ascii="宋体" w:hAnsi="宋体" w:eastAsia="宋体" w:cs="仿宋"/>
          <w:sz w:val="28"/>
          <w:szCs w:val="28"/>
          <w:lang w:val="en-US" w:eastAsia="zh-CN"/>
        </w:rPr>
      </w:pPr>
      <w:r>
        <w:rPr>
          <w:rFonts w:hint="eastAsia" w:ascii="宋体" w:hAnsi="宋体" w:eastAsia="宋体" w:cs="仿宋"/>
          <w:b/>
          <w:bCs/>
          <w:sz w:val="28"/>
          <w:szCs w:val="28"/>
          <w:lang w:val="en-US" w:eastAsia="zh-CN"/>
        </w:rPr>
        <w:t>2</w:t>
      </w:r>
      <w:r>
        <w:rPr>
          <w:rFonts w:hint="default" w:ascii="宋体" w:hAnsi="宋体" w:eastAsia="宋体" w:cs="仿宋"/>
          <w:b/>
          <w:bCs/>
          <w:sz w:val="28"/>
          <w:szCs w:val="28"/>
          <w:lang w:val="en-US" w:eastAsia="zh-CN"/>
        </w:rPr>
        <w:t>.</w:t>
      </w:r>
      <w:r>
        <w:rPr>
          <w:rFonts w:hint="eastAsia" w:ascii="宋体" w:hAnsi="宋体" w:eastAsia="宋体" w:cs="仿宋"/>
          <w:b/>
          <w:bCs/>
          <w:sz w:val="28"/>
          <w:szCs w:val="28"/>
          <w:lang w:val="en-US" w:eastAsia="zh-CN"/>
        </w:rPr>
        <w:t>1</w:t>
      </w:r>
      <w:r>
        <w:rPr>
          <w:rFonts w:hint="default" w:ascii="宋体" w:hAnsi="宋体" w:eastAsia="宋体" w:cs="仿宋"/>
          <w:b/>
          <w:bCs/>
          <w:sz w:val="28"/>
          <w:szCs w:val="28"/>
          <w:lang w:val="en-US" w:eastAsia="zh-CN"/>
        </w:rPr>
        <w:t>提升科研项目层级</w:t>
      </w:r>
    </w:p>
    <w:p w14:paraId="4776F585">
      <w:pPr>
        <w:spacing w:line="360" w:lineRule="auto"/>
        <w:ind w:firstLine="560" w:firstLineChars="200"/>
        <w:rPr>
          <w:rFonts w:hint="default" w:ascii="宋体" w:hAnsi="宋体" w:eastAsia="宋体" w:cs="仿宋"/>
          <w:sz w:val="28"/>
          <w:szCs w:val="28"/>
          <w:lang w:val="en-US" w:eastAsia="zh-CN"/>
        </w:rPr>
      </w:pPr>
      <w:r>
        <w:rPr>
          <w:rFonts w:hint="default" w:ascii="宋体" w:hAnsi="宋体" w:eastAsia="宋体" w:cs="仿宋"/>
          <w:sz w:val="28"/>
          <w:szCs w:val="28"/>
          <w:lang w:val="en-US" w:eastAsia="zh-CN"/>
        </w:rPr>
        <w:t>集中优势力量申报国家级重大项目，力争在国家重点研发计划、科技创新 2030 等项目上实现新突破，确保国家级项目数量</w:t>
      </w:r>
      <w:r>
        <w:rPr>
          <w:rFonts w:hint="eastAsia" w:ascii="宋体" w:hAnsi="宋体" w:eastAsia="宋体" w:cs="仿宋"/>
          <w:sz w:val="28"/>
          <w:szCs w:val="28"/>
          <w:lang w:val="en-US" w:eastAsia="zh-CN"/>
        </w:rPr>
        <w:t>持续</w:t>
      </w:r>
      <w:r>
        <w:rPr>
          <w:rFonts w:hint="default" w:ascii="宋体" w:hAnsi="宋体" w:eastAsia="宋体" w:cs="仿宋"/>
          <w:sz w:val="28"/>
          <w:szCs w:val="28"/>
          <w:lang w:val="en-US" w:eastAsia="zh-CN"/>
        </w:rPr>
        <w:t>增长。</w:t>
      </w:r>
    </w:p>
    <w:p w14:paraId="7A0CCC19">
      <w:pPr>
        <w:spacing w:line="360" w:lineRule="auto"/>
        <w:ind w:firstLine="560" w:firstLineChars="200"/>
        <w:rPr>
          <w:rFonts w:hint="default" w:ascii="宋体" w:hAnsi="宋体" w:eastAsia="宋体" w:cs="仿宋"/>
          <w:sz w:val="28"/>
          <w:szCs w:val="28"/>
          <w:lang w:val="en-US" w:eastAsia="zh-CN"/>
        </w:rPr>
      </w:pPr>
      <w:r>
        <w:rPr>
          <w:rFonts w:hint="default" w:ascii="宋体" w:hAnsi="宋体" w:eastAsia="宋体" w:cs="仿宋"/>
          <w:sz w:val="28"/>
          <w:szCs w:val="28"/>
          <w:lang w:val="en-US" w:eastAsia="zh-CN"/>
        </w:rPr>
        <w:t>深化产学研合作，加强与中医药企业的联合攻关，横向课题经费占比提升至 10% 以上，推动科研成果向临床转化。</w:t>
      </w:r>
    </w:p>
    <w:p w14:paraId="76C12AD4">
      <w:pPr>
        <w:spacing w:line="360" w:lineRule="auto"/>
        <w:ind w:firstLine="562" w:firstLineChars="200"/>
        <w:rPr>
          <w:rFonts w:hint="default" w:ascii="宋体" w:hAnsi="宋体" w:eastAsia="宋体" w:cs="仿宋"/>
          <w:sz w:val="28"/>
          <w:szCs w:val="28"/>
          <w:lang w:val="en-US" w:eastAsia="zh-CN"/>
        </w:rPr>
      </w:pPr>
      <w:r>
        <w:rPr>
          <w:rFonts w:hint="default" w:ascii="宋体" w:hAnsi="宋体" w:eastAsia="宋体" w:cs="仿宋"/>
          <w:b/>
          <w:bCs/>
          <w:sz w:val="28"/>
          <w:szCs w:val="28"/>
          <w:lang w:val="en-US" w:eastAsia="zh-CN"/>
        </w:rPr>
        <w:t>2.</w:t>
      </w:r>
      <w:r>
        <w:rPr>
          <w:rFonts w:hint="eastAsia" w:ascii="宋体" w:hAnsi="宋体" w:eastAsia="宋体" w:cs="仿宋"/>
          <w:b/>
          <w:bCs/>
          <w:sz w:val="28"/>
          <w:szCs w:val="28"/>
          <w:lang w:val="en-US" w:eastAsia="zh-CN"/>
        </w:rPr>
        <w:t>2</w:t>
      </w:r>
      <w:r>
        <w:rPr>
          <w:rFonts w:hint="default" w:ascii="宋体" w:hAnsi="宋体" w:eastAsia="宋体" w:cs="仿宋"/>
          <w:b/>
          <w:bCs/>
          <w:sz w:val="28"/>
          <w:szCs w:val="28"/>
          <w:lang w:val="en-US" w:eastAsia="zh-CN"/>
        </w:rPr>
        <w:t>强化高质量成果培育</w:t>
      </w:r>
    </w:p>
    <w:p w14:paraId="5622A48D">
      <w:pPr>
        <w:spacing w:line="360" w:lineRule="auto"/>
        <w:ind w:firstLine="560" w:firstLineChars="200"/>
        <w:rPr>
          <w:rFonts w:hint="default" w:ascii="宋体" w:hAnsi="宋体" w:eastAsia="宋体" w:cs="仿宋"/>
          <w:sz w:val="28"/>
          <w:szCs w:val="28"/>
          <w:lang w:val="en-US" w:eastAsia="zh-CN"/>
        </w:rPr>
      </w:pPr>
      <w:r>
        <w:rPr>
          <w:rFonts w:hint="default" w:ascii="宋体" w:hAnsi="宋体" w:eastAsia="宋体" w:cs="仿宋"/>
          <w:sz w:val="28"/>
          <w:szCs w:val="28"/>
          <w:lang w:val="en-US" w:eastAsia="zh-CN"/>
        </w:rPr>
        <w:t>设立“高影响力论文培育基金”，支持导师与研究生在中医药领域顶级期刊发表论文，力争</w:t>
      </w:r>
      <w:r>
        <w:rPr>
          <w:rFonts w:hint="eastAsia" w:ascii="宋体" w:hAnsi="宋体" w:eastAsia="宋体" w:cs="仿宋"/>
          <w:sz w:val="28"/>
          <w:szCs w:val="28"/>
          <w:lang w:val="en-US" w:eastAsia="zh-CN"/>
        </w:rPr>
        <w:t>提升</w:t>
      </w:r>
      <w:r>
        <w:rPr>
          <w:rFonts w:hint="default" w:ascii="宋体" w:hAnsi="宋体" w:eastAsia="宋体" w:cs="仿宋"/>
          <w:sz w:val="28"/>
          <w:szCs w:val="28"/>
          <w:lang w:val="en-US" w:eastAsia="zh-CN"/>
        </w:rPr>
        <w:t>SCI论文数量。</w:t>
      </w:r>
    </w:p>
    <w:p w14:paraId="6BE1F769">
      <w:pPr>
        <w:spacing w:line="360" w:lineRule="auto"/>
        <w:ind w:firstLine="560" w:firstLineChars="200"/>
        <w:rPr>
          <w:rFonts w:hint="default" w:ascii="宋体" w:hAnsi="宋体" w:eastAsia="宋体" w:cs="仿宋"/>
          <w:sz w:val="28"/>
          <w:szCs w:val="28"/>
          <w:lang w:val="en-US" w:eastAsia="zh-CN"/>
        </w:rPr>
      </w:pPr>
      <w:r>
        <w:rPr>
          <w:rFonts w:hint="default" w:ascii="宋体" w:hAnsi="宋体" w:eastAsia="宋体" w:cs="仿宋"/>
          <w:sz w:val="28"/>
          <w:szCs w:val="28"/>
          <w:lang w:val="en-US" w:eastAsia="zh-CN"/>
        </w:rPr>
        <w:t>加强专利布局与转化，推动中医药技术专利成果转化。</w:t>
      </w:r>
    </w:p>
    <w:p w14:paraId="164F2EDB">
      <w:pPr>
        <w:spacing w:line="360" w:lineRule="auto"/>
        <w:ind w:firstLine="562" w:firstLineChars="200"/>
        <w:rPr>
          <w:rFonts w:hint="default" w:ascii="宋体" w:hAnsi="宋体" w:eastAsia="宋体" w:cs="仿宋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仿宋"/>
          <w:b/>
          <w:bCs/>
          <w:sz w:val="28"/>
          <w:szCs w:val="28"/>
          <w:lang w:val="en-US" w:eastAsia="zh-CN"/>
        </w:rPr>
        <w:t>2</w:t>
      </w:r>
      <w:r>
        <w:rPr>
          <w:rFonts w:hint="default" w:ascii="宋体" w:hAnsi="宋体" w:eastAsia="宋体" w:cs="仿宋"/>
          <w:b/>
          <w:bCs/>
          <w:sz w:val="28"/>
          <w:szCs w:val="28"/>
          <w:lang w:val="en-US" w:eastAsia="zh-CN"/>
        </w:rPr>
        <w:t>.</w:t>
      </w:r>
      <w:r>
        <w:rPr>
          <w:rFonts w:hint="eastAsia" w:ascii="宋体" w:hAnsi="宋体" w:eastAsia="宋体" w:cs="仿宋"/>
          <w:b/>
          <w:bCs/>
          <w:sz w:val="28"/>
          <w:szCs w:val="28"/>
          <w:lang w:val="en-US" w:eastAsia="zh-CN"/>
        </w:rPr>
        <w:t>3</w:t>
      </w:r>
      <w:r>
        <w:rPr>
          <w:rFonts w:hint="default" w:ascii="宋体" w:hAnsi="宋体" w:eastAsia="宋体" w:cs="仿宋"/>
          <w:b/>
          <w:bCs/>
          <w:sz w:val="28"/>
          <w:szCs w:val="28"/>
          <w:lang w:val="en-US" w:eastAsia="zh-CN"/>
        </w:rPr>
        <w:t>拓展学术交流平台</w:t>
      </w:r>
    </w:p>
    <w:p w14:paraId="07C7A4EB">
      <w:pPr>
        <w:spacing w:line="360" w:lineRule="auto"/>
        <w:ind w:firstLine="560" w:firstLineChars="200"/>
        <w:rPr>
          <w:rFonts w:hint="default" w:ascii="宋体" w:hAnsi="宋体" w:eastAsia="宋体" w:cs="仿宋"/>
          <w:sz w:val="28"/>
          <w:szCs w:val="28"/>
          <w:lang w:val="en-US" w:eastAsia="zh-CN"/>
        </w:rPr>
      </w:pPr>
      <w:r>
        <w:rPr>
          <w:rFonts w:hint="default" w:ascii="宋体" w:hAnsi="宋体" w:eastAsia="宋体" w:cs="仿宋"/>
          <w:sz w:val="28"/>
          <w:szCs w:val="28"/>
          <w:lang w:val="en-US" w:eastAsia="zh-CN"/>
        </w:rPr>
        <w:t>主办或承办国际中医药学术会议，邀请国内外知名专家参会，提升学位点的国际知名度。</w:t>
      </w:r>
    </w:p>
    <w:p w14:paraId="758EC312">
      <w:pPr>
        <w:spacing w:line="360" w:lineRule="auto"/>
        <w:ind w:firstLine="560" w:firstLineChars="200"/>
        <w:rPr>
          <w:rFonts w:hint="default" w:ascii="宋体" w:hAnsi="宋体" w:eastAsia="宋体" w:cs="仿宋"/>
          <w:sz w:val="28"/>
          <w:szCs w:val="28"/>
          <w:lang w:val="en-US" w:eastAsia="zh-CN"/>
        </w:rPr>
      </w:pPr>
      <w:r>
        <w:rPr>
          <w:rFonts w:hint="default" w:ascii="宋体" w:hAnsi="宋体" w:eastAsia="宋体" w:cs="仿宋"/>
          <w:sz w:val="28"/>
          <w:szCs w:val="28"/>
          <w:lang w:val="en-US" w:eastAsia="zh-CN"/>
        </w:rPr>
        <w:t>鼓励师生参与国际学术组织和学术竞赛，扩大中医药学术影响力。</w:t>
      </w:r>
    </w:p>
    <w:p w14:paraId="156A8406">
      <w:pPr>
        <w:spacing w:line="360" w:lineRule="auto"/>
        <w:ind w:firstLine="562" w:firstLineChars="200"/>
        <w:rPr>
          <w:rFonts w:hint="default" w:ascii="宋体" w:hAnsi="宋体" w:eastAsia="宋体" w:cs="仿宋"/>
          <w:sz w:val="28"/>
          <w:szCs w:val="28"/>
          <w:lang w:val="en-US" w:eastAsia="zh-CN"/>
        </w:rPr>
      </w:pPr>
      <w:r>
        <w:rPr>
          <w:rFonts w:hint="eastAsia" w:ascii="宋体" w:hAnsi="宋体" w:eastAsia="宋体" w:cs="仿宋"/>
          <w:b/>
          <w:bCs/>
          <w:sz w:val="28"/>
          <w:szCs w:val="28"/>
          <w:lang w:val="en-US" w:eastAsia="zh-CN"/>
        </w:rPr>
        <w:t>（三）</w:t>
      </w:r>
      <w:r>
        <w:rPr>
          <w:rFonts w:hint="default" w:ascii="宋体" w:hAnsi="宋体" w:eastAsia="宋体" w:cs="仿宋"/>
          <w:b/>
          <w:bCs/>
          <w:sz w:val="28"/>
          <w:szCs w:val="28"/>
          <w:lang w:val="en-US" w:eastAsia="zh-CN"/>
        </w:rPr>
        <w:t>研究生培养：深化创新教育与质量提升</w:t>
      </w:r>
    </w:p>
    <w:p w14:paraId="6D84D8D8">
      <w:pPr>
        <w:spacing w:line="360" w:lineRule="auto"/>
        <w:ind w:firstLine="562" w:firstLineChars="200"/>
        <w:rPr>
          <w:rFonts w:hint="default" w:ascii="宋体" w:hAnsi="宋体" w:eastAsia="宋体" w:cs="仿宋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仿宋"/>
          <w:b/>
          <w:bCs/>
          <w:sz w:val="28"/>
          <w:szCs w:val="28"/>
          <w:lang w:val="en-US" w:eastAsia="zh-CN"/>
        </w:rPr>
        <w:t>3</w:t>
      </w:r>
      <w:r>
        <w:rPr>
          <w:rFonts w:hint="default" w:ascii="宋体" w:hAnsi="宋体" w:eastAsia="宋体" w:cs="仿宋"/>
          <w:b/>
          <w:bCs/>
          <w:sz w:val="28"/>
          <w:szCs w:val="28"/>
          <w:lang w:val="en-US" w:eastAsia="zh-CN"/>
        </w:rPr>
        <w:t>.</w:t>
      </w:r>
      <w:r>
        <w:rPr>
          <w:rFonts w:hint="eastAsia" w:ascii="宋体" w:hAnsi="宋体" w:eastAsia="宋体" w:cs="仿宋"/>
          <w:b/>
          <w:bCs/>
          <w:sz w:val="28"/>
          <w:szCs w:val="28"/>
          <w:lang w:val="en-US" w:eastAsia="zh-CN"/>
        </w:rPr>
        <w:t>1</w:t>
      </w:r>
      <w:r>
        <w:rPr>
          <w:rFonts w:hint="default" w:ascii="宋体" w:hAnsi="宋体" w:eastAsia="宋体" w:cs="仿宋"/>
          <w:b/>
          <w:bCs/>
          <w:sz w:val="28"/>
          <w:szCs w:val="28"/>
          <w:lang w:val="en-US" w:eastAsia="zh-CN"/>
        </w:rPr>
        <w:t>创新培养模式</w:t>
      </w:r>
    </w:p>
    <w:p w14:paraId="6E0CEB5E">
      <w:pPr>
        <w:spacing w:line="360" w:lineRule="auto"/>
        <w:ind w:firstLine="560" w:firstLineChars="200"/>
        <w:rPr>
          <w:rFonts w:hint="default" w:ascii="宋体" w:hAnsi="宋体" w:eastAsia="宋体" w:cs="仿宋"/>
          <w:sz w:val="28"/>
          <w:szCs w:val="28"/>
          <w:lang w:val="en-US" w:eastAsia="zh-CN"/>
        </w:rPr>
      </w:pPr>
      <w:r>
        <w:rPr>
          <w:rFonts w:hint="default" w:ascii="宋体" w:hAnsi="宋体" w:eastAsia="宋体" w:cs="仿宋"/>
          <w:sz w:val="28"/>
          <w:szCs w:val="28"/>
          <w:lang w:val="en-US" w:eastAsia="zh-CN"/>
        </w:rPr>
        <w:t>开设跨学科课程模块，如“中医药大数据分析”“人工智能与中医诊疗”等，培养学生的交叉学科思维。</w:t>
      </w:r>
    </w:p>
    <w:p w14:paraId="11767B94">
      <w:pPr>
        <w:spacing w:line="360" w:lineRule="auto"/>
        <w:ind w:firstLine="560" w:firstLineChars="200"/>
        <w:rPr>
          <w:rFonts w:hint="default" w:ascii="宋体" w:hAnsi="宋体" w:eastAsia="宋体" w:cs="仿宋"/>
          <w:sz w:val="28"/>
          <w:szCs w:val="28"/>
          <w:lang w:val="en-US" w:eastAsia="zh-CN"/>
        </w:rPr>
      </w:pPr>
      <w:r>
        <w:rPr>
          <w:rFonts w:hint="default" w:ascii="宋体" w:hAnsi="宋体" w:eastAsia="宋体" w:cs="仿宋"/>
          <w:sz w:val="28"/>
          <w:szCs w:val="28"/>
          <w:lang w:val="en-US" w:eastAsia="zh-CN"/>
        </w:rPr>
        <w:t>实施 “科研创新计划”，支持研究生参与国家级课题研究，</w:t>
      </w:r>
      <w:r>
        <w:rPr>
          <w:rFonts w:hint="eastAsia" w:ascii="宋体" w:hAnsi="宋体" w:eastAsia="宋体" w:cs="仿宋"/>
          <w:sz w:val="28"/>
          <w:szCs w:val="28"/>
          <w:lang w:val="en-US" w:eastAsia="zh-CN"/>
        </w:rPr>
        <w:t>加大</w:t>
      </w:r>
      <w:r>
        <w:rPr>
          <w:rFonts w:hint="default" w:ascii="宋体" w:hAnsi="宋体" w:eastAsia="宋体" w:cs="仿宋"/>
          <w:sz w:val="28"/>
          <w:szCs w:val="28"/>
          <w:lang w:val="en-US" w:eastAsia="zh-CN"/>
        </w:rPr>
        <w:t>研究生创新基金</w:t>
      </w:r>
      <w:r>
        <w:rPr>
          <w:rFonts w:hint="eastAsia" w:ascii="宋体" w:hAnsi="宋体" w:eastAsia="宋体" w:cs="仿宋"/>
          <w:sz w:val="28"/>
          <w:szCs w:val="28"/>
          <w:lang w:val="en-US" w:eastAsia="zh-CN"/>
        </w:rPr>
        <w:t>资助力度</w:t>
      </w:r>
      <w:r>
        <w:rPr>
          <w:rFonts w:hint="default" w:ascii="宋体" w:hAnsi="宋体" w:eastAsia="宋体" w:cs="仿宋"/>
          <w:sz w:val="28"/>
          <w:szCs w:val="28"/>
          <w:lang w:val="en-US" w:eastAsia="zh-CN"/>
        </w:rPr>
        <w:t>，</w:t>
      </w:r>
      <w:r>
        <w:rPr>
          <w:rFonts w:hint="eastAsia" w:ascii="宋体" w:hAnsi="宋体" w:eastAsia="宋体" w:cs="仿宋"/>
          <w:sz w:val="28"/>
          <w:szCs w:val="28"/>
          <w:lang w:val="en-US" w:eastAsia="zh-CN"/>
        </w:rPr>
        <w:t>鼓励</w:t>
      </w:r>
      <w:r>
        <w:rPr>
          <w:rFonts w:hint="default" w:ascii="宋体" w:hAnsi="宋体" w:eastAsia="宋体" w:cs="仿宋"/>
          <w:sz w:val="28"/>
          <w:szCs w:val="28"/>
          <w:lang w:val="en-US" w:eastAsia="zh-CN"/>
        </w:rPr>
        <w:t>研究生自主创新项目。</w:t>
      </w:r>
    </w:p>
    <w:p w14:paraId="1DE6965C">
      <w:pPr>
        <w:spacing w:line="360" w:lineRule="auto"/>
        <w:ind w:firstLine="562" w:firstLineChars="200"/>
        <w:rPr>
          <w:rFonts w:hint="default" w:ascii="宋体" w:hAnsi="宋体" w:eastAsia="宋体" w:cs="仿宋"/>
          <w:sz w:val="28"/>
          <w:szCs w:val="28"/>
          <w:lang w:val="en-US" w:eastAsia="zh-CN"/>
        </w:rPr>
      </w:pPr>
      <w:r>
        <w:rPr>
          <w:rFonts w:hint="default" w:ascii="宋体" w:hAnsi="宋体" w:eastAsia="宋体" w:cs="仿宋"/>
          <w:b/>
          <w:bCs/>
          <w:sz w:val="28"/>
          <w:szCs w:val="28"/>
          <w:lang w:val="en-US" w:eastAsia="zh-CN"/>
        </w:rPr>
        <w:t>3.</w:t>
      </w:r>
      <w:r>
        <w:rPr>
          <w:rFonts w:hint="eastAsia" w:ascii="宋体" w:hAnsi="宋体" w:eastAsia="宋体" w:cs="仿宋"/>
          <w:b/>
          <w:bCs/>
          <w:sz w:val="28"/>
          <w:szCs w:val="28"/>
          <w:lang w:val="en-US" w:eastAsia="zh-CN"/>
        </w:rPr>
        <w:t>2</w:t>
      </w:r>
      <w:r>
        <w:rPr>
          <w:rFonts w:hint="default" w:ascii="宋体" w:hAnsi="宋体" w:eastAsia="宋体" w:cs="仿宋"/>
          <w:b/>
          <w:bCs/>
          <w:sz w:val="28"/>
          <w:szCs w:val="28"/>
          <w:lang w:val="en-US" w:eastAsia="zh-CN"/>
        </w:rPr>
        <w:t>强化质量保障体系</w:t>
      </w:r>
    </w:p>
    <w:p w14:paraId="0F8A8CBE">
      <w:pPr>
        <w:spacing w:line="360" w:lineRule="auto"/>
        <w:ind w:firstLine="560" w:firstLineChars="200"/>
        <w:rPr>
          <w:rFonts w:hint="default" w:ascii="宋体" w:hAnsi="宋体" w:eastAsia="宋体" w:cs="仿宋"/>
          <w:sz w:val="28"/>
          <w:szCs w:val="28"/>
          <w:lang w:val="en-US" w:eastAsia="zh-CN"/>
        </w:rPr>
      </w:pPr>
      <w:r>
        <w:rPr>
          <w:rFonts w:hint="default" w:ascii="宋体" w:hAnsi="宋体" w:eastAsia="宋体" w:cs="仿宋"/>
          <w:sz w:val="28"/>
          <w:szCs w:val="28"/>
          <w:lang w:val="en-US" w:eastAsia="zh-CN"/>
        </w:rPr>
        <w:t>严格学位论文全过程管理，建立“导师-学科-学校”三级质量监控机制，确保国家级抽检合格率保持100%，力争</w:t>
      </w:r>
      <w:r>
        <w:rPr>
          <w:rFonts w:hint="eastAsia" w:ascii="宋体" w:hAnsi="宋体" w:eastAsia="宋体" w:cs="仿宋"/>
          <w:sz w:val="28"/>
          <w:szCs w:val="28"/>
          <w:lang w:val="en-US" w:eastAsia="zh-CN"/>
        </w:rPr>
        <w:t>继续增加</w:t>
      </w:r>
      <w:r>
        <w:rPr>
          <w:rFonts w:hint="default" w:ascii="宋体" w:hAnsi="宋体" w:eastAsia="宋体" w:cs="仿宋"/>
          <w:sz w:val="28"/>
          <w:szCs w:val="28"/>
          <w:lang w:val="en-US" w:eastAsia="zh-CN"/>
        </w:rPr>
        <w:t>省级优秀博士论文数量。</w:t>
      </w:r>
    </w:p>
    <w:p w14:paraId="18C79E37">
      <w:pPr>
        <w:spacing w:line="360" w:lineRule="auto"/>
        <w:ind w:firstLine="560" w:firstLineChars="200"/>
        <w:rPr>
          <w:rFonts w:hint="default" w:ascii="宋体" w:hAnsi="宋体" w:eastAsia="宋体" w:cs="仿宋"/>
          <w:sz w:val="28"/>
          <w:szCs w:val="28"/>
          <w:lang w:val="en-US" w:eastAsia="zh-CN"/>
        </w:rPr>
      </w:pPr>
      <w:r>
        <w:rPr>
          <w:rFonts w:hint="default" w:ascii="宋体" w:hAnsi="宋体" w:eastAsia="宋体" w:cs="仿宋"/>
          <w:sz w:val="28"/>
          <w:szCs w:val="28"/>
          <w:lang w:val="en-US" w:eastAsia="zh-CN"/>
        </w:rPr>
        <w:t>推进研究生国际联合培养，与海外高校共建联合培养项目，</w:t>
      </w:r>
      <w:r>
        <w:rPr>
          <w:rFonts w:hint="eastAsia" w:ascii="宋体" w:hAnsi="宋体" w:eastAsia="宋体" w:cs="仿宋"/>
          <w:sz w:val="28"/>
          <w:szCs w:val="28"/>
          <w:lang w:val="en-US" w:eastAsia="zh-CN"/>
        </w:rPr>
        <w:t>继续</w:t>
      </w:r>
      <w:r>
        <w:rPr>
          <w:rFonts w:hint="default" w:ascii="宋体" w:hAnsi="宋体" w:eastAsia="宋体" w:cs="仿宋"/>
          <w:sz w:val="28"/>
          <w:szCs w:val="28"/>
          <w:lang w:val="en-US" w:eastAsia="zh-CN"/>
        </w:rPr>
        <w:t>选派研究生赴国外高水平机构交流学习。</w:t>
      </w:r>
    </w:p>
    <w:p w14:paraId="2B5F60F5">
      <w:pPr>
        <w:spacing w:line="360" w:lineRule="auto"/>
        <w:ind w:firstLine="562" w:firstLineChars="200"/>
        <w:rPr>
          <w:rFonts w:hint="default" w:ascii="宋体" w:hAnsi="宋体" w:eastAsia="宋体" w:cs="仿宋"/>
          <w:sz w:val="28"/>
          <w:szCs w:val="28"/>
          <w:lang w:val="en-US" w:eastAsia="zh-CN"/>
        </w:rPr>
      </w:pPr>
      <w:r>
        <w:rPr>
          <w:rFonts w:hint="eastAsia" w:ascii="宋体" w:hAnsi="宋体" w:eastAsia="宋体" w:cs="仿宋"/>
          <w:b/>
          <w:bCs/>
          <w:sz w:val="28"/>
          <w:szCs w:val="28"/>
          <w:lang w:val="en-US" w:eastAsia="zh-CN"/>
        </w:rPr>
        <w:t>（四）</w:t>
      </w:r>
      <w:r>
        <w:rPr>
          <w:rFonts w:hint="default" w:ascii="宋体" w:hAnsi="宋体" w:eastAsia="宋体" w:cs="仿宋"/>
          <w:b/>
          <w:bCs/>
          <w:sz w:val="28"/>
          <w:szCs w:val="28"/>
          <w:lang w:val="en-US" w:eastAsia="zh-CN"/>
        </w:rPr>
        <w:t>社会服务：发挥学科优势服务健康中国</w:t>
      </w:r>
    </w:p>
    <w:p w14:paraId="0A287A7D">
      <w:pPr>
        <w:spacing w:line="360" w:lineRule="auto"/>
        <w:ind w:firstLine="562" w:firstLineChars="200"/>
        <w:rPr>
          <w:rFonts w:hint="default" w:ascii="宋体" w:hAnsi="宋体" w:eastAsia="宋体" w:cs="仿宋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仿宋"/>
          <w:b/>
          <w:bCs/>
          <w:sz w:val="28"/>
          <w:szCs w:val="28"/>
          <w:lang w:val="en-US" w:eastAsia="zh-CN"/>
        </w:rPr>
        <w:t>4.</w:t>
      </w:r>
      <w:r>
        <w:rPr>
          <w:rFonts w:hint="default" w:ascii="宋体" w:hAnsi="宋体" w:eastAsia="宋体" w:cs="仿宋"/>
          <w:b/>
          <w:bCs/>
          <w:sz w:val="28"/>
          <w:szCs w:val="28"/>
          <w:lang w:val="en-US" w:eastAsia="zh-CN"/>
        </w:rPr>
        <w:t>1推动中医药科普与健康服务</w:t>
      </w:r>
    </w:p>
    <w:p w14:paraId="269E4FDC">
      <w:pPr>
        <w:spacing w:line="360" w:lineRule="auto"/>
        <w:ind w:firstLine="560" w:firstLineChars="200"/>
        <w:rPr>
          <w:rFonts w:hint="default" w:ascii="宋体" w:hAnsi="宋体" w:eastAsia="宋体" w:cs="仿宋"/>
          <w:sz w:val="28"/>
          <w:szCs w:val="28"/>
          <w:lang w:val="en-US" w:eastAsia="zh-CN"/>
        </w:rPr>
      </w:pPr>
      <w:r>
        <w:rPr>
          <w:rFonts w:hint="default" w:ascii="宋体" w:hAnsi="宋体" w:eastAsia="宋体" w:cs="仿宋"/>
          <w:sz w:val="28"/>
          <w:szCs w:val="28"/>
          <w:lang w:val="en-US" w:eastAsia="zh-CN"/>
        </w:rPr>
        <w:t>组织师生</w:t>
      </w:r>
      <w:r>
        <w:rPr>
          <w:rFonts w:hint="eastAsia" w:ascii="宋体" w:hAnsi="宋体" w:eastAsia="宋体" w:cs="仿宋"/>
          <w:sz w:val="28"/>
          <w:szCs w:val="28"/>
          <w:lang w:val="en-US" w:eastAsia="zh-CN"/>
        </w:rPr>
        <w:t>继续</w:t>
      </w:r>
      <w:r>
        <w:rPr>
          <w:rFonts w:hint="default" w:ascii="宋体" w:hAnsi="宋体" w:eastAsia="宋体" w:cs="仿宋"/>
          <w:sz w:val="28"/>
          <w:szCs w:val="28"/>
          <w:lang w:val="en-US" w:eastAsia="zh-CN"/>
        </w:rPr>
        <w:t>开展 “中医药文化进社区” 活动，举办 10 场以上中医药科普讲座，服务基层群众 5000 人次。</w:t>
      </w:r>
    </w:p>
    <w:p w14:paraId="16600839">
      <w:pPr>
        <w:spacing w:line="360" w:lineRule="auto"/>
        <w:ind w:firstLine="560" w:firstLineChars="200"/>
        <w:rPr>
          <w:rFonts w:hint="default" w:ascii="宋体" w:hAnsi="宋体" w:eastAsia="宋体" w:cs="仿宋"/>
          <w:sz w:val="28"/>
          <w:szCs w:val="28"/>
          <w:lang w:val="en-US" w:eastAsia="zh-CN"/>
        </w:rPr>
      </w:pPr>
      <w:r>
        <w:rPr>
          <w:rFonts w:hint="default" w:ascii="宋体" w:hAnsi="宋体" w:eastAsia="宋体" w:cs="仿宋"/>
          <w:sz w:val="28"/>
          <w:szCs w:val="28"/>
          <w:lang w:val="en-US" w:eastAsia="zh-CN"/>
        </w:rPr>
        <w:t>依托附属医院资源，开展中医药特色健康管理服务，推广中医治未病理念，助力“健康中国 2030”战略。</w:t>
      </w:r>
    </w:p>
    <w:p w14:paraId="04B72981">
      <w:pPr>
        <w:spacing w:line="360" w:lineRule="auto"/>
        <w:ind w:firstLine="562" w:firstLineChars="200"/>
        <w:rPr>
          <w:rFonts w:hint="default" w:ascii="宋体" w:hAnsi="宋体" w:eastAsia="宋体" w:cs="仿宋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仿宋"/>
          <w:b/>
          <w:bCs/>
          <w:sz w:val="28"/>
          <w:szCs w:val="28"/>
          <w:lang w:val="en-US" w:eastAsia="zh-CN"/>
        </w:rPr>
        <w:t>4.</w:t>
      </w:r>
      <w:r>
        <w:rPr>
          <w:rFonts w:hint="default" w:ascii="宋体" w:hAnsi="宋体" w:eastAsia="宋体" w:cs="仿宋"/>
          <w:b/>
          <w:bCs/>
          <w:sz w:val="28"/>
          <w:szCs w:val="28"/>
          <w:lang w:val="en-US" w:eastAsia="zh-CN"/>
        </w:rPr>
        <w:t>2助力中医药产业发展</w:t>
      </w:r>
    </w:p>
    <w:p w14:paraId="171620C2">
      <w:pPr>
        <w:spacing w:line="360" w:lineRule="auto"/>
        <w:ind w:firstLine="560" w:firstLineChars="200"/>
        <w:rPr>
          <w:rFonts w:hint="default" w:ascii="宋体" w:hAnsi="宋体" w:eastAsia="宋体" w:cs="仿宋"/>
          <w:sz w:val="28"/>
          <w:szCs w:val="28"/>
          <w:lang w:val="en-US" w:eastAsia="zh-CN"/>
        </w:rPr>
      </w:pPr>
      <w:r>
        <w:rPr>
          <w:rFonts w:hint="default" w:ascii="宋体" w:hAnsi="宋体" w:eastAsia="宋体" w:cs="仿宋"/>
          <w:sz w:val="28"/>
          <w:szCs w:val="28"/>
          <w:lang w:val="en-US" w:eastAsia="zh-CN"/>
        </w:rPr>
        <w:t>与中医药企业合作建立实践基地，为企业提供技术支持与人才输送，推动中药新药研发与产业升级。</w:t>
      </w:r>
    </w:p>
    <w:p w14:paraId="40988530">
      <w:pPr>
        <w:spacing w:line="360" w:lineRule="auto"/>
        <w:ind w:firstLine="560" w:firstLineChars="200"/>
        <w:rPr>
          <w:rFonts w:hint="default" w:ascii="宋体" w:hAnsi="宋体" w:eastAsia="宋体" w:cs="仿宋"/>
          <w:sz w:val="28"/>
          <w:szCs w:val="28"/>
          <w:lang w:val="en-US" w:eastAsia="zh-CN"/>
        </w:rPr>
      </w:pPr>
      <w:r>
        <w:rPr>
          <w:rFonts w:hint="default" w:ascii="宋体" w:hAnsi="宋体" w:eastAsia="宋体" w:cs="仿宋"/>
          <w:sz w:val="28"/>
          <w:szCs w:val="28"/>
          <w:lang w:val="en-US" w:eastAsia="zh-CN"/>
        </w:rPr>
        <w:t>参与国家中医药服务出口基地建设，拓展中医药国际服务领域，提升中医药的国际竞争力。</w:t>
      </w:r>
    </w:p>
    <w:p w14:paraId="2D4AD532">
      <w:pPr>
        <w:spacing w:line="360" w:lineRule="auto"/>
        <w:ind w:firstLine="562" w:firstLineChars="200"/>
        <w:rPr>
          <w:rFonts w:hint="default" w:ascii="宋体" w:hAnsi="宋体" w:eastAsia="宋体" w:cs="仿宋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仿宋"/>
          <w:b/>
          <w:bCs/>
          <w:sz w:val="28"/>
          <w:szCs w:val="28"/>
          <w:lang w:val="en-US" w:eastAsia="zh-CN"/>
        </w:rPr>
        <w:t>4.</w:t>
      </w:r>
      <w:r>
        <w:rPr>
          <w:rFonts w:hint="default" w:ascii="宋体" w:hAnsi="宋体" w:eastAsia="宋体" w:cs="仿宋"/>
          <w:b/>
          <w:bCs/>
          <w:sz w:val="28"/>
          <w:szCs w:val="28"/>
          <w:lang w:val="en-US" w:eastAsia="zh-CN"/>
        </w:rPr>
        <w:t>3强化智库作用</w:t>
      </w:r>
    </w:p>
    <w:p w14:paraId="098C6CE8">
      <w:pPr>
        <w:spacing w:line="360" w:lineRule="auto"/>
        <w:ind w:firstLine="560" w:firstLineChars="200"/>
        <w:rPr>
          <w:rFonts w:hint="default" w:ascii="宋体" w:hAnsi="宋体" w:eastAsia="宋体" w:cs="仿宋"/>
          <w:sz w:val="28"/>
          <w:szCs w:val="28"/>
          <w:lang w:val="en-US" w:eastAsia="zh-CN"/>
        </w:rPr>
      </w:pPr>
      <w:r>
        <w:rPr>
          <w:rFonts w:hint="default" w:ascii="宋体" w:hAnsi="宋体" w:eastAsia="宋体" w:cs="仿宋"/>
          <w:sz w:val="28"/>
          <w:szCs w:val="28"/>
          <w:lang w:val="en-US" w:eastAsia="zh-CN"/>
        </w:rPr>
        <w:t>组织专家团队参与国家及地方中医药政策制定，为中医药事业发展提供决策咨询。</w:t>
      </w:r>
    </w:p>
    <w:p w14:paraId="3C165512">
      <w:pPr>
        <w:spacing w:line="360" w:lineRule="auto"/>
        <w:ind w:firstLine="560" w:firstLineChars="200"/>
        <w:rPr>
          <w:rFonts w:hint="eastAsia" w:ascii="宋体" w:hAnsi="宋体" w:eastAsia="宋体" w:cs="宋体"/>
          <w:color w:val="auto"/>
          <w:kern w:val="0"/>
          <w:sz w:val="28"/>
          <w:szCs w:val="28"/>
          <w:lang w:val="en-US" w:eastAsia="zh-CN" w:bidi="ar"/>
        </w:rPr>
      </w:pPr>
      <w:r>
        <w:rPr>
          <w:rFonts w:hint="default" w:ascii="宋体" w:hAnsi="宋体" w:eastAsia="宋体" w:cs="仿宋"/>
          <w:sz w:val="28"/>
          <w:szCs w:val="28"/>
          <w:lang w:val="en-US" w:eastAsia="zh-CN"/>
        </w:rPr>
        <w:t>发布年度《中医药发展报告》，聚焦行业热点问题，引领中医药学术发展方向。</w:t>
      </w:r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仿宋简体">
    <w:altName w:val="微软雅黑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altName w:val="黑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7E0963"/>
    <w:rsid w:val="00844285"/>
    <w:rsid w:val="00891D5E"/>
    <w:rsid w:val="00B5443F"/>
    <w:rsid w:val="00CD1788"/>
    <w:rsid w:val="00D91EDB"/>
    <w:rsid w:val="01172A03"/>
    <w:rsid w:val="01213882"/>
    <w:rsid w:val="01303AC5"/>
    <w:rsid w:val="01415CD2"/>
    <w:rsid w:val="015C48BA"/>
    <w:rsid w:val="015E0632"/>
    <w:rsid w:val="016814B1"/>
    <w:rsid w:val="01695955"/>
    <w:rsid w:val="01806B0D"/>
    <w:rsid w:val="01891B53"/>
    <w:rsid w:val="01A3073B"/>
    <w:rsid w:val="01B3202D"/>
    <w:rsid w:val="01EC20E2"/>
    <w:rsid w:val="02160F0D"/>
    <w:rsid w:val="021A09FD"/>
    <w:rsid w:val="02203B3A"/>
    <w:rsid w:val="02315D47"/>
    <w:rsid w:val="02452988"/>
    <w:rsid w:val="024A0BB7"/>
    <w:rsid w:val="02941414"/>
    <w:rsid w:val="02996051"/>
    <w:rsid w:val="02A061F0"/>
    <w:rsid w:val="02AF383B"/>
    <w:rsid w:val="02CD1F13"/>
    <w:rsid w:val="02CF7A3A"/>
    <w:rsid w:val="02F56D74"/>
    <w:rsid w:val="032B09E8"/>
    <w:rsid w:val="03332F3B"/>
    <w:rsid w:val="03433F84"/>
    <w:rsid w:val="034B11BF"/>
    <w:rsid w:val="03543659"/>
    <w:rsid w:val="038D16A3"/>
    <w:rsid w:val="03936CB9"/>
    <w:rsid w:val="03A367D0"/>
    <w:rsid w:val="03C055D4"/>
    <w:rsid w:val="03C87A41"/>
    <w:rsid w:val="03D60954"/>
    <w:rsid w:val="03E33071"/>
    <w:rsid w:val="03EB7101"/>
    <w:rsid w:val="03F01F3C"/>
    <w:rsid w:val="044A30F0"/>
    <w:rsid w:val="04504BAA"/>
    <w:rsid w:val="045C354F"/>
    <w:rsid w:val="04C82992"/>
    <w:rsid w:val="04E23328"/>
    <w:rsid w:val="04F65B7F"/>
    <w:rsid w:val="051D3BF0"/>
    <w:rsid w:val="053807F8"/>
    <w:rsid w:val="056E2EB0"/>
    <w:rsid w:val="056E6CEC"/>
    <w:rsid w:val="05726DA2"/>
    <w:rsid w:val="05746676"/>
    <w:rsid w:val="05834B0B"/>
    <w:rsid w:val="059565ED"/>
    <w:rsid w:val="05C56ED2"/>
    <w:rsid w:val="05F15F19"/>
    <w:rsid w:val="05FE4192"/>
    <w:rsid w:val="06084F90"/>
    <w:rsid w:val="060C4B01"/>
    <w:rsid w:val="060F45F1"/>
    <w:rsid w:val="06250A5D"/>
    <w:rsid w:val="06630B76"/>
    <w:rsid w:val="06744454"/>
    <w:rsid w:val="068B641C"/>
    <w:rsid w:val="06962942"/>
    <w:rsid w:val="06B331CE"/>
    <w:rsid w:val="06E51C97"/>
    <w:rsid w:val="07247C28"/>
    <w:rsid w:val="073626C5"/>
    <w:rsid w:val="074402CA"/>
    <w:rsid w:val="074D3623"/>
    <w:rsid w:val="0754675F"/>
    <w:rsid w:val="076F17EB"/>
    <w:rsid w:val="07707311"/>
    <w:rsid w:val="07852DBD"/>
    <w:rsid w:val="07AF3996"/>
    <w:rsid w:val="07CA07CF"/>
    <w:rsid w:val="07D17DB0"/>
    <w:rsid w:val="07DB478B"/>
    <w:rsid w:val="07E850FA"/>
    <w:rsid w:val="07E92CA1"/>
    <w:rsid w:val="07FC5336"/>
    <w:rsid w:val="080C528C"/>
    <w:rsid w:val="08181C5D"/>
    <w:rsid w:val="082C5D12"/>
    <w:rsid w:val="083B347B"/>
    <w:rsid w:val="083E11BD"/>
    <w:rsid w:val="08457A14"/>
    <w:rsid w:val="0849203C"/>
    <w:rsid w:val="086E3851"/>
    <w:rsid w:val="088564A0"/>
    <w:rsid w:val="08AE6343"/>
    <w:rsid w:val="09093C92"/>
    <w:rsid w:val="091A7535"/>
    <w:rsid w:val="0926237D"/>
    <w:rsid w:val="09265ED9"/>
    <w:rsid w:val="093C394F"/>
    <w:rsid w:val="09480230"/>
    <w:rsid w:val="09640E51"/>
    <w:rsid w:val="098F195C"/>
    <w:rsid w:val="099512B1"/>
    <w:rsid w:val="09954E0D"/>
    <w:rsid w:val="099F5C8C"/>
    <w:rsid w:val="09B2776D"/>
    <w:rsid w:val="09CD3996"/>
    <w:rsid w:val="09D05E45"/>
    <w:rsid w:val="09EB1836"/>
    <w:rsid w:val="09FE6E56"/>
    <w:rsid w:val="0A037FC9"/>
    <w:rsid w:val="0A1B5312"/>
    <w:rsid w:val="0A2166A1"/>
    <w:rsid w:val="0A3E36F7"/>
    <w:rsid w:val="0A6071C9"/>
    <w:rsid w:val="0A935528"/>
    <w:rsid w:val="0A943665"/>
    <w:rsid w:val="0AAC240E"/>
    <w:rsid w:val="0AAF60C7"/>
    <w:rsid w:val="0AF10769"/>
    <w:rsid w:val="0AF618DB"/>
    <w:rsid w:val="0AFC15E8"/>
    <w:rsid w:val="0B25417E"/>
    <w:rsid w:val="0B260413"/>
    <w:rsid w:val="0B415214"/>
    <w:rsid w:val="0B5331D2"/>
    <w:rsid w:val="0B536D2E"/>
    <w:rsid w:val="0B662F05"/>
    <w:rsid w:val="0BA13F3D"/>
    <w:rsid w:val="0BC47C2C"/>
    <w:rsid w:val="0BDE6F3F"/>
    <w:rsid w:val="0BEF2EFA"/>
    <w:rsid w:val="0BF73B5D"/>
    <w:rsid w:val="0C216495"/>
    <w:rsid w:val="0C656D19"/>
    <w:rsid w:val="0C676F35"/>
    <w:rsid w:val="0C871385"/>
    <w:rsid w:val="0CAA5073"/>
    <w:rsid w:val="0CB101B0"/>
    <w:rsid w:val="0CC31C91"/>
    <w:rsid w:val="0CCA3020"/>
    <w:rsid w:val="0CCA615D"/>
    <w:rsid w:val="0CEA5470"/>
    <w:rsid w:val="0D044784"/>
    <w:rsid w:val="0D1424ED"/>
    <w:rsid w:val="0D444B80"/>
    <w:rsid w:val="0D7A146F"/>
    <w:rsid w:val="0DA970D9"/>
    <w:rsid w:val="0DB03B82"/>
    <w:rsid w:val="0DBC6E0C"/>
    <w:rsid w:val="0DF77E44"/>
    <w:rsid w:val="0E1B7FD7"/>
    <w:rsid w:val="0E574D87"/>
    <w:rsid w:val="0E6B25E0"/>
    <w:rsid w:val="0EB36461"/>
    <w:rsid w:val="0EF94BFA"/>
    <w:rsid w:val="0F0F5662"/>
    <w:rsid w:val="0F334EAC"/>
    <w:rsid w:val="0F3F1AA3"/>
    <w:rsid w:val="0F8676D2"/>
    <w:rsid w:val="0F955B67"/>
    <w:rsid w:val="0F9A317D"/>
    <w:rsid w:val="0FA638D0"/>
    <w:rsid w:val="0FB00B75"/>
    <w:rsid w:val="10101691"/>
    <w:rsid w:val="10216F9B"/>
    <w:rsid w:val="10572E1C"/>
    <w:rsid w:val="10D64689"/>
    <w:rsid w:val="10F040B0"/>
    <w:rsid w:val="11010579"/>
    <w:rsid w:val="110F7B9B"/>
    <w:rsid w:val="1111121D"/>
    <w:rsid w:val="114A472F"/>
    <w:rsid w:val="11611AC6"/>
    <w:rsid w:val="117143B2"/>
    <w:rsid w:val="1182211B"/>
    <w:rsid w:val="118765F1"/>
    <w:rsid w:val="1198193E"/>
    <w:rsid w:val="11A622AD"/>
    <w:rsid w:val="11A7392F"/>
    <w:rsid w:val="12282CC2"/>
    <w:rsid w:val="12745F08"/>
    <w:rsid w:val="127759F8"/>
    <w:rsid w:val="127F187A"/>
    <w:rsid w:val="128A74D9"/>
    <w:rsid w:val="129728D9"/>
    <w:rsid w:val="12A762DD"/>
    <w:rsid w:val="12D70244"/>
    <w:rsid w:val="12D746E8"/>
    <w:rsid w:val="12E110C3"/>
    <w:rsid w:val="12FB2185"/>
    <w:rsid w:val="12FC3082"/>
    <w:rsid w:val="13503262"/>
    <w:rsid w:val="13631AD8"/>
    <w:rsid w:val="136C6BDF"/>
    <w:rsid w:val="137D5290"/>
    <w:rsid w:val="138A52B7"/>
    <w:rsid w:val="13BD568C"/>
    <w:rsid w:val="13C9299C"/>
    <w:rsid w:val="13E744B7"/>
    <w:rsid w:val="140C03C2"/>
    <w:rsid w:val="141C2D20"/>
    <w:rsid w:val="1424395D"/>
    <w:rsid w:val="1433594E"/>
    <w:rsid w:val="144A2F48"/>
    <w:rsid w:val="14585F80"/>
    <w:rsid w:val="148A7C64"/>
    <w:rsid w:val="148D1503"/>
    <w:rsid w:val="14AE3227"/>
    <w:rsid w:val="14B720DC"/>
    <w:rsid w:val="14CB3DD9"/>
    <w:rsid w:val="14D507B4"/>
    <w:rsid w:val="14DC334C"/>
    <w:rsid w:val="14DF5063"/>
    <w:rsid w:val="150572EB"/>
    <w:rsid w:val="1525173B"/>
    <w:rsid w:val="153B4ABB"/>
    <w:rsid w:val="15451DDD"/>
    <w:rsid w:val="154D47EE"/>
    <w:rsid w:val="154F0566"/>
    <w:rsid w:val="15632263"/>
    <w:rsid w:val="15673B02"/>
    <w:rsid w:val="15702414"/>
    <w:rsid w:val="157D1577"/>
    <w:rsid w:val="1587205C"/>
    <w:rsid w:val="159F14ED"/>
    <w:rsid w:val="161329C4"/>
    <w:rsid w:val="16421E79"/>
    <w:rsid w:val="164E4CC1"/>
    <w:rsid w:val="165027E8"/>
    <w:rsid w:val="167D7355"/>
    <w:rsid w:val="16A14DF1"/>
    <w:rsid w:val="16A668AC"/>
    <w:rsid w:val="16BF34C9"/>
    <w:rsid w:val="16E178E4"/>
    <w:rsid w:val="170D06D9"/>
    <w:rsid w:val="172A128B"/>
    <w:rsid w:val="172F4AF3"/>
    <w:rsid w:val="17365E81"/>
    <w:rsid w:val="17435EA8"/>
    <w:rsid w:val="17872239"/>
    <w:rsid w:val="17C0399D"/>
    <w:rsid w:val="17DD0CAF"/>
    <w:rsid w:val="17E17DAB"/>
    <w:rsid w:val="17E70F2A"/>
    <w:rsid w:val="18347076"/>
    <w:rsid w:val="184A3267"/>
    <w:rsid w:val="18934C0E"/>
    <w:rsid w:val="18954E2A"/>
    <w:rsid w:val="18B232E6"/>
    <w:rsid w:val="18C66D91"/>
    <w:rsid w:val="18F41B50"/>
    <w:rsid w:val="190B0C48"/>
    <w:rsid w:val="193957B5"/>
    <w:rsid w:val="194D74B2"/>
    <w:rsid w:val="198033E4"/>
    <w:rsid w:val="19836A30"/>
    <w:rsid w:val="1988673C"/>
    <w:rsid w:val="19B250D3"/>
    <w:rsid w:val="19BD63E6"/>
    <w:rsid w:val="19BE3F0C"/>
    <w:rsid w:val="19D43730"/>
    <w:rsid w:val="1A22449B"/>
    <w:rsid w:val="1A312930"/>
    <w:rsid w:val="1A3F329F"/>
    <w:rsid w:val="1A5A3C35"/>
    <w:rsid w:val="1A840CB2"/>
    <w:rsid w:val="1A8E119A"/>
    <w:rsid w:val="1AFB3A0D"/>
    <w:rsid w:val="1B50328A"/>
    <w:rsid w:val="1B5B5EB7"/>
    <w:rsid w:val="1C2A7637"/>
    <w:rsid w:val="1C33473D"/>
    <w:rsid w:val="1C5A43C0"/>
    <w:rsid w:val="1C940F54"/>
    <w:rsid w:val="1C9D42AD"/>
    <w:rsid w:val="1CAA0778"/>
    <w:rsid w:val="1D266050"/>
    <w:rsid w:val="1D3F35B6"/>
    <w:rsid w:val="1D41732E"/>
    <w:rsid w:val="1D6848BB"/>
    <w:rsid w:val="1D6A0633"/>
    <w:rsid w:val="1D8D60CF"/>
    <w:rsid w:val="1DBE272D"/>
    <w:rsid w:val="1DC87107"/>
    <w:rsid w:val="1DD457BC"/>
    <w:rsid w:val="1DDF4451"/>
    <w:rsid w:val="1E110AAE"/>
    <w:rsid w:val="1E193E07"/>
    <w:rsid w:val="1E1C7453"/>
    <w:rsid w:val="1E37603B"/>
    <w:rsid w:val="1E454BFC"/>
    <w:rsid w:val="1E707ECB"/>
    <w:rsid w:val="1E7352C5"/>
    <w:rsid w:val="1E7F43BD"/>
    <w:rsid w:val="1E817425"/>
    <w:rsid w:val="1E90231B"/>
    <w:rsid w:val="1E922492"/>
    <w:rsid w:val="1EA062D6"/>
    <w:rsid w:val="1EB3181B"/>
    <w:rsid w:val="1EBA2EF4"/>
    <w:rsid w:val="1EBC43AC"/>
    <w:rsid w:val="1EFB0FDF"/>
    <w:rsid w:val="1F0423C1"/>
    <w:rsid w:val="1F354C71"/>
    <w:rsid w:val="1F3F5AEF"/>
    <w:rsid w:val="1F4A34C4"/>
    <w:rsid w:val="1F7F2436"/>
    <w:rsid w:val="1F7F7C9A"/>
    <w:rsid w:val="1F923E71"/>
    <w:rsid w:val="1FB738D7"/>
    <w:rsid w:val="1FBD74E3"/>
    <w:rsid w:val="1FC87893"/>
    <w:rsid w:val="1FD9558D"/>
    <w:rsid w:val="200D34F7"/>
    <w:rsid w:val="202579E6"/>
    <w:rsid w:val="20337402"/>
    <w:rsid w:val="20541126"/>
    <w:rsid w:val="20623843"/>
    <w:rsid w:val="207130EF"/>
    <w:rsid w:val="207D242B"/>
    <w:rsid w:val="2080016D"/>
    <w:rsid w:val="20855784"/>
    <w:rsid w:val="20855A40"/>
    <w:rsid w:val="208C6B12"/>
    <w:rsid w:val="20923DE0"/>
    <w:rsid w:val="20A57BD4"/>
    <w:rsid w:val="20E57FD0"/>
    <w:rsid w:val="210C37AF"/>
    <w:rsid w:val="211F7986"/>
    <w:rsid w:val="21366A7E"/>
    <w:rsid w:val="21372198"/>
    <w:rsid w:val="215E4EE8"/>
    <w:rsid w:val="216D6919"/>
    <w:rsid w:val="21894835"/>
    <w:rsid w:val="218E2416"/>
    <w:rsid w:val="21EB5ABA"/>
    <w:rsid w:val="21EF529B"/>
    <w:rsid w:val="21F229A5"/>
    <w:rsid w:val="220426D8"/>
    <w:rsid w:val="22092740"/>
    <w:rsid w:val="22097CEF"/>
    <w:rsid w:val="221B77D7"/>
    <w:rsid w:val="225B679C"/>
    <w:rsid w:val="226E5B97"/>
    <w:rsid w:val="22903F40"/>
    <w:rsid w:val="22A13307"/>
    <w:rsid w:val="22A31EF1"/>
    <w:rsid w:val="22A7378F"/>
    <w:rsid w:val="22B8599C"/>
    <w:rsid w:val="22C02AA3"/>
    <w:rsid w:val="22D5228D"/>
    <w:rsid w:val="22E03145"/>
    <w:rsid w:val="22EE7610"/>
    <w:rsid w:val="23161155"/>
    <w:rsid w:val="23203542"/>
    <w:rsid w:val="23356FED"/>
    <w:rsid w:val="2337380B"/>
    <w:rsid w:val="23641680"/>
    <w:rsid w:val="23692F0B"/>
    <w:rsid w:val="238E0DF3"/>
    <w:rsid w:val="23C9261C"/>
    <w:rsid w:val="23DD6F13"/>
    <w:rsid w:val="23ED1676"/>
    <w:rsid w:val="23FD01D9"/>
    <w:rsid w:val="241F1A4B"/>
    <w:rsid w:val="245B0CD5"/>
    <w:rsid w:val="248A5117"/>
    <w:rsid w:val="24C0322E"/>
    <w:rsid w:val="24C26FA6"/>
    <w:rsid w:val="24C4748D"/>
    <w:rsid w:val="24CC1BD3"/>
    <w:rsid w:val="251175E6"/>
    <w:rsid w:val="251B66B7"/>
    <w:rsid w:val="252D7931"/>
    <w:rsid w:val="25311A36"/>
    <w:rsid w:val="25630DB5"/>
    <w:rsid w:val="258778A8"/>
    <w:rsid w:val="258E0C37"/>
    <w:rsid w:val="259B3353"/>
    <w:rsid w:val="25A1699B"/>
    <w:rsid w:val="25CE197B"/>
    <w:rsid w:val="25CE54D7"/>
    <w:rsid w:val="25E215AF"/>
    <w:rsid w:val="25E6460C"/>
    <w:rsid w:val="25F72C80"/>
    <w:rsid w:val="25F767DC"/>
    <w:rsid w:val="26103D41"/>
    <w:rsid w:val="26190E48"/>
    <w:rsid w:val="26217CFD"/>
    <w:rsid w:val="26243349"/>
    <w:rsid w:val="262A4E03"/>
    <w:rsid w:val="266B4AD8"/>
    <w:rsid w:val="267A740D"/>
    <w:rsid w:val="26C40A2A"/>
    <w:rsid w:val="26D11723"/>
    <w:rsid w:val="26F251F5"/>
    <w:rsid w:val="271635D9"/>
    <w:rsid w:val="271D04C4"/>
    <w:rsid w:val="273870AC"/>
    <w:rsid w:val="273D46C2"/>
    <w:rsid w:val="274516AA"/>
    <w:rsid w:val="27554102"/>
    <w:rsid w:val="275B723E"/>
    <w:rsid w:val="276500BD"/>
    <w:rsid w:val="27675BE3"/>
    <w:rsid w:val="27790766"/>
    <w:rsid w:val="278B7B24"/>
    <w:rsid w:val="278E13C2"/>
    <w:rsid w:val="27982240"/>
    <w:rsid w:val="279F537D"/>
    <w:rsid w:val="27BB7CDD"/>
    <w:rsid w:val="27C22E19"/>
    <w:rsid w:val="27E47234"/>
    <w:rsid w:val="27F21951"/>
    <w:rsid w:val="282633A8"/>
    <w:rsid w:val="28277120"/>
    <w:rsid w:val="283D61A0"/>
    <w:rsid w:val="285F68BA"/>
    <w:rsid w:val="288051AE"/>
    <w:rsid w:val="28926C90"/>
    <w:rsid w:val="289522DC"/>
    <w:rsid w:val="28BE1833"/>
    <w:rsid w:val="28D56B7C"/>
    <w:rsid w:val="290851A4"/>
    <w:rsid w:val="29361D11"/>
    <w:rsid w:val="294F692F"/>
    <w:rsid w:val="299A5F1B"/>
    <w:rsid w:val="29D05CC2"/>
    <w:rsid w:val="29D46E34"/>
    <w:rsid w:val="29FC3F7F"/>
    <w:rsid w:val="2A1536D4"/>
    <w:rsid w:val="2A3E70CF"/>
    <w:rsid w:val="2A571F3F"/>
    <w:rsid w:val="2A701253"/>
    <w:rsid w:val="2A724EF5"/>
    <w:rsid w:val="2A842608"/>
    <w:rsid w:val="2A862824"/>
    <w:rsid w:val="2A922F77"/>
    <w:rsid w:val="2AAA6513"/>
    <w:rsid w:val="2B035C23"/>
    <w:rsid w:val="2B12230A"/>
    <w:rsid w:val="2B231E21"/>
    <w:rsid w:val="2B3558F1"/>
    <w:rsid w:val="2B414296"/>
    <w:rsid w:val="2B427374"/>
    <w:rsid w:val="2B45623B"/>
    <w:rsid w:val="2B481888"/>
    <w:rsid w:val="2B786611"/>
    <w:rsid w:val="2B886128"/>
    <w:rsid w:val="2B9E76FA"/>
    <w:rsid w:val="2BAB74FD"/>
    <w:rsid w:val="2BAC1E16"/>
    <w:rsid w:val="2BB94533"/>
    <w:rsid w:val="2BC730F4"/>
    <w:rsid w:val="2BD82C0B"/>
    <w:rsid w:val="2BF33EE9"/>
    <w:rsid w:val="2BFD2672"/>
    <w:rsid w:val="2BFF63EA"/>
    <w:rsid w:val="2C0803DB"/>
    <w:rsid w:val="2C1A4329"/>
    <w:rsid w:val="2C35005E"/>
    <w:rsid w:val="2C412EA7"/>
    <w:rsid w:val="2C7C7A3B"/>
    <w:rsid w:val="2C9D5C03"/>
    <w:rsid w:val="2CCB6C14"/>
    <w:rsid w:val="2CE4167D"/>
    <w:rsid w:val="2D0619FA"/>
    <w:rsid w:val="2D0B0DBF"/>
    <w:rsid w:val="2D0D2D89"/>
    <w:rsid w:val="2D202ABC"/>
    <w:rsid w:val="2D3E73E6"/>
    <w:rsid w:val="2D460049"/>
    <w:rsid w:val="2D60068C"/>
    <w:rsid w:val="2D7B23E8"/>
    <w:rsid w:val="2DA01E4F"/>
    <w:rsid w:val="2DCE15AF"/>
    <w:rsid w:val="2E0221C2"/>
    <w:rsid w:val="2E0979F4"/>
    <w:rsid w:val="2E266F24"/>
    <w:rsid w:val="2E4D76FE"/>
    <w:rsid w:val="2E67296D"/>
    <w:rsid w:val="2E81758A"/>
    <w:rsid w:val="2E862DF3"/>
    <w:rsid w:val="2EA92D81"/>
    <w:rsid w:val="2EF53AD4"/>
    <w:rsid w:val="2F070BCC"/>
    <w:rsid w:val="2F2B399A"/>
    <w:rsid w:val="2F391C13"/>
    <w:rsid w:val="2F612793"/>
    <w:rsid w:val="2F8E270B"/>
    <w:rsid w:val="2FC07B82"/>
    <w:rsid w:val="2FD8767E"/>
    <w:rsid w:val="2FE222AB"/>
    <w:rsid w:val="2FF16992"/>
    <w:rsid w:val="2FF43D8C"/>
    <w:rsid w:val="30020929"/>
    <w:rsid w:val="304B42F4"/>
    <w:rsid w:val="30526F2D"/>
    <w:rsid w:val="305B205D"/>
    <w:rsid w:val="306C426A"/>
    <w:rsid w:val="30B33C47"/>
    <w:rsid w:val="30B874AF"/>
    <w:rsid w:val="30DD2A72"/>
    <w:rsid w:val="30F027A5"/>
    <w:rsid w:val="30F22893"/>
    <w:rsid w:val="310A31EE"/>
    <w:rsid w:val="310B75DF"/>
    <w:rsid w:val="31117149"/>
    <w:rsid w:val="311347A9"/>
    <w:rsid w:val="31376626"/>
    <w:rsid w:val="31592A40"/>
    <w:rsid w:val="316771C6"/>
    <w:rsid w:val="31886E82"/>
    <w:rsid w:val="3196159F"/>
    <w:rsid w:val="319677F1"/>
    <w:rsid w:val="31A717FE"/>
    <w:rsid w:val="31AC0DC2"/>
    <w:rsid w:val="31B1462B"/>
    <w:rsid w:val="31B45575"/>
    <w:rsid w:val="31D654A8"/>
    <w:rsid w:val="31DC0F7C"/>
    <w:rsid w:val="31F6203D"/>
    <w:rsid w:val="31F75DB5"/>
    <w:rsid w:val="32317519"/>
    <w:rsid w:val="323F1C36"/>
    <w:rsid w:val="32455753"/>
    <w:rsid w:val="325E7BE3"/>
    <w:rsid w:val="326E6078"/>
    <w:rsid w:val="326F1DF0"/>
    <w:rsid w:val="327775A4"/>
    <w:rsid w:val="32867865"/>
    <w:rsid w:val="32933D30"/>
    <w:rsid w:val="32EE540A"/>
    <w:rsid w:val="32F347CF"/>
    <w:rsid w:val="33016EEC"/>
    <w:rsid w:val="335079DD"/>
    <w:rsid w:val="33572FB0"/>
    <w:rsid w:val="33684842"/>
    <w:rsid w:val="33837901"/>
    <w:rsid w:val="33B26438"/>
    <w:rsid w:val="33B45D0C"/>
    <w:rsid w:val="33B91F4C"/>
    <w:rsid w:val="33BE4DDD"/>
    <w:rsid w:val="33C148CD"/>
    <w:rsid w:val="34012F1B"/>
    <w:rsid w:val="340B3488"/>
    <w:rsid w:val="341E1D1F"/>
    <w:rsid w:val="342B629B"/>
    <w:rsid w:val="34761214"/>
    <w:rsid w:val="349E5D58"/>
    <w:rsid w:val="34E70363"/>
    <w:rsid w:val="34FF745B"/>
    <w:rsid w:val="350E58F0"/>
    <w:rsid w:val="3518676F"/>
    <w:rsid w:val="35216B3A"/>
    <w:rsid w:val="352549E8"/>
    <w:rsid w:val="3550415A"/>
    <w:rsid w:val="357065AB"/>
    <w:rsid w:val="35780FBB"/>
    <w:rsid w:val="35A324DC"/>
    <w:rsid w:val="35B04BF9"/>
    <w:rsid w:val="35B27AD0"/>
    <w:rsid w:val="35EF74CF"/>
    <w:rsid w:val="35F20D6E"/>
    <w:rsid w:val="3623361D"/>
    <w:rsid w:val="362C0724"/>
    <w:rsid w:val="362D1DA6"/>
    <w:rsid w:val="363B44C3"/>
    <w:rsid w:val="36483084"/>
    <w:rsid w:val="364916B9"/>
    <w:rsid w:val="364C2B74"/>
    <w:rsid w:val="3667350A"/>
    <w:rsid w:val="369938DF"/>
    <w:rsid w:val="36A24542"/>
    <w:rsid w:val="36B335DA"/>
    <w:rsid w:val="36BB5604"/>
    <w:rsid w:val="36E23B89"/>
    <w:rsid w:val="36E6780C"/>
    <w:rsid w:val="3701395E"/>
    <w:rsid w:val="37362EDC"/>
    <w:rsid w:val="37404B77"/>
    <w:rsid w:val="37476E97"/>
    <w:rsid w:val="376D2DA2"/>
    <w:rsid w:val="379C5435"/>
    <w:rsid w:val="379F6CD3"/>
    <w:rsid w:val="37AE5168"/>
    <w:rsid w:val="37ED7275"/>
    <w:rsid w:val="37F708BD"/>
    <w:rsid w:val="38163439"/>
    <w:rsid w:val="3821593A"/>
    <w:rsid w:val="3825542A"/>
    <w:rsid w:val="383B3CC3"/>
    <w:rsid w:val="383C1FD5"/>
    <w:rsid w:val="385B52F0"/>
    <w:rsid w:val="38765C86"/>
    <w:rsid w:val="388303A3"/>
    <w:rsid w:val="389E51DD"/>
    <w:rsid w:val="38BE762D"/>
    <w:rsid w:val="38CC7F9C"/>
    <w:rsid w:val="38CD4CAC"/>
    <w:rsid w:val="38D94467"/>
    <w:rsid w:val="38EA21D0"/>
    <w:rsid w:val="38EE6FF6"/>
    <w:rsid w:val="38EF3C8A"/>
    <w:rsid w:val="38F44DFD"/>
    <w:rsid w:val="391E1E7A"/>
    <w:rsid w:val="393F251C"/>
    <w:rsid w:val="394A036E"/>
    <w:rsid w:val="394C2E8B"/>
    <w:rsid w:val="394F0285"/>
    <w:rsid w:val="3951224F"/>
    <w:rsid w:val="39873EC3"/>
    <w:rsid w:val="39882C57"/>
    <w:rsid w:val="398B750F"/>
    <w:rsid w:val="39B133CB"/>
    <w:rsid w:val="39D569DC"/>
    <w:rsid w:val="39E84962"/>
    <w:rsid w:val="39F01A68"/>
    <w:rsid w:val="3A0177D1"/>
    <w:rsid w:val="3A157721"/>
    <w:rsid w:val="3A7C6534"/>
    <w:rsid w:val="3A940645"/>
    <w:rsid w:val="3AAC17D9"/>
    <w:rsid w:val="3AC21656"/>
    <w:rsid w:val="3ACC7DDF"/>
    <w:rsid w:val="3B2969CB"/>
    <w:rsid w:val="3B3756B1"/>
    <w:rsid w:val="3B491430"/>
    <w:rsid w:val="3B4E2EEA"/>
    <w:rsid w:val="3B6613AA"/>
    <w:rsid w:val="3B7F1F51"/>
    <w:rsid w:val="3B9D61C5"/>
    <w:rsid w:val="3BB71A7C"/>
    <w:rsid w:val="3BBA232E"/>
    <w:rsid w:val="3BBB17DC"/>
    <w:rsid w:val="3BEC625F"/>
    <w:rsid w:val="3BF07AFD"/>
    <w:rsid w:val="3BFA6BCE"/>
    <w:rsid w:val="3C0435A9"/>
    <w:rsid w:val="3C0D6901"/>
    <w:rsid w:val="3C1C08F2"/>
    <w:rsid w:val="3C277297"/>
    <w:rsid w:val="3C497617"/>
    <w:rsid w:val="3C5A141B"/>
    <w:rsid w:val="3C991F43"/>
    <w:rsid w:val="3CB21484"/>
    <w:rsid w:val="3CDC4526"/>
    <w:rsid w:val="3CE04016"/>
    <w:rsid w:val="3D0B6962"/>
    <w:rsid w:val="3D45031D"/>
    <w:rsid w:val="3D5D5666"/>
    <w:rsid w:val="3D712EC0"/>
    <w:rsid w:val="3D87623F"/>
    <w:rsid w:val="3D9D3CB5"/>
    <w:rsid w:val="3DB1150E"/>
    <w:rsid w:val="3DBF1E7D"/>
    <w:rsid w:val="3DC54FBA"/>
    <w:rsid w:val="3DDB658B"/>
    <w:rsid w:val="3E047890"/>
    <w:rsid w:val="3E072B75"/>
    <w:rsid w:val="3E1F0B6E"/>
    <w:rsid w:val="3E506F79"/>
    <w:rsid w:val="3E6622F9"/>
    <w:rsid w:val="3E7C1B1C"/>
    <w:rsid w:val="3E9450B8"/>
    <w:rsid w:val="3E9A1FA2"/>
    <w:rsid w:val="3E9F10DF"/>
    <w:rsid w:val="3ED951C1"/>
    <w:rsid w:val="3EF73899"/>
    <w:rsid w:val="3F2F4DE1"/>
    <w:rsid w:val="3F316DAB"/>
    <w:rsid w:val="3F4E4BB7"/>
    <w:rsid w:val="3F544847"/>
    <w:rsid w:val="3F7942AE"/>
    <w:rsid w:val="3FE94F8F"/>
    <w:rsid w:val="400B13AA"/>
    <w:rsid w:val="400B75FC"/>
    <w:rsid w:val="402406BD"/>
    <w:rsid w:val="402713FE"/>
    <w:rsid w:val="40355211"/>
    <w:rsid w:val="404D3498"/>
    <w:rsid w:val="405D772B"/>
    <w:rsid w:val="406665E0"/>
    <w:rsid w:val="407222E7"/>
    <w:rsid w:val="408C5D5A"/>
    <w:rsid w:val="408E5B37"/>
    <w:rsid w:val="409D1DE9"/>
    <w:rsid w:val="40A13ABC"/>
    <w:rsid w:val="40BA4B7E"/>
    <w:rsid w:val="40CB6D8B"/>
    <w:rsid w:val="40CC3328"/>
    <w:rsid w:val="4105404B"/>
    <w:rsid w:val="410F3A7D"/>
    <w:rsid w:val="411F0144"/>
    <w:rsid w:val="415D3E87"/>
    <w:rsid w:val="416C40CA"/>
    <w:rsid w:val="41831414"/>
    <w:rsid w:val="41A424B8"/>
    <w:rsid w:val="41D103D1"/>
    <w:rsid w:val="41D43A1D"/>
    <w:rsid w:val="42162288"/>
    <w:rsid w:val="421D53C4"/>
    <w:rsid w:val="422406F0"/>
    <w:rsid w:val="422E75D1"/>
    <w:rsid w:val="4235270E"/>
    <w:rsid w:val="42360234"/>
    <w:rsid w:val="427A45C5"/>
    <w:rsid w:val="427C033D"/>
    <w:rsid w:val="428611BC"/>
    <w:rsid w:val="428C60A6"/>
    <w:rsid w:val="42A12A2C"/>
    <w:rsid w:val="42B15B0D"/>
    <w:rsid w:val="42ED2FE9"/>
    <w:rsid w:val="43081BD1"/>
    <w:rsid w:val="43100A85"/>
    <w:rsid w:val="431A7B56"/>
    <w:rsid w:val="432664FB"/>
    <w:rsid w:val="4355293C"/>
    <w:rsid w:val="43662404"/>
    <w:rsid w:val="439F595A"/>
    <w:rsid w:val="43B753A5"/>
    <w:rsid w:val="43DE0B83"/>
    <w:rsid w:val="43E066A9"/>
    <w:rsid w:val="43EA39CC"/>
    <w:rsid w:val="43F263DD"/>
    <w:rsid w:val="43F565F9"/>
    <w:rsid w:val="442C18EF"/>
    <w:rsid w:val="44565FEF"/>
    <w:rsid w:val="445826E4"/>
    <w:rsid w:val="445A0AE0"/>
    <w:rsid w:val="445D2C4C"/>
    <w:rsid w:val="446812D2"/>
    <w:rsid w:val="4492243D"/>
    <w:rsid w:val="44A27E03"/>
    <w:rsid w:val="45101210"/>
    <w:rsid w:val="4529193B"/>
    <w:rsid w:val="45480384"/>
    <w:rsid w:val="4565155C"/>
    <w:rsid w:val="45796DB6"/>
    <w:rsid w:val="45863281"/>
    <w:rsid w:val="458D0AB3"/>
    <w:rsid w:val="459675FB"/>
    <w:rsid w:val="45D064EB"/>
    <w:rsid w:val="45E87A97"/>
    <w:rsid w:val="45FD1795"/>
    <w:rsid w:val="460A2104"/>
    <w:rsid w:val="46284338"/>
    <w:rsid w:val="46386C71"/>
    <w:rsid w:val="463E3B5B"/>
    <w:rsid w:val="46503FBA"/>
    <w:rsid w:val="46674E60"/>
    <w:rsid w:val="46BD0F24"/>
    <w:rsid w:val="46CE1383"/>
    <w:rsid w:val="46D06EA9"/>
    <w:rsid w:val="471C5C4A"/>
    <w:rsid w:val="47307948"/>
    <w:rsid w:val="47356B05"/>
    <w:rsid w:val="473867FC"/>
    <w:rsid w:val="473C62ED"/>
    <w:rsid w:val="474E6020"/>
    <w:rsid w:val="477261B2"/>
    <w:rsid w:val="477737C9"/>
    <w:rsid w:val="47971775"/>
    <w:rsid w:val="47AA594C"/>
    <w:rsid w:val="47AB6FCE"/>
    <w:rsid w:val="47DF6F81"/>
    <w:rsid w:val="47EE3067"/>
    <w:rsid w:val="480F1B5E"/>
    <w:rsid w:val="4839282C"/>
    <w:rsid w:val="483A0C1F"/>
    <w:rsid w:val="48844676"/>
    <w:rsid w:val="48873598"/>
    <w:rsid w:val="48B06F92"/>
    <w:rsid w:val="48B30830"/>
    <w:rsid w:val="48B40105"/>
    <w:rsid w:val="48BB1493"/>
    <w:rsid w:val="48EE1869"/>
    <w:rsid w:val="49211C3E"/>
    <w:rsid w:val="492139EC"/>
    <w:rsid w:val="49463453"/>
    <w:rsid w:val="496B110B"/>
    <w:rsid w:val="498126DD"/>
    <w:rsid w:val="498174A7"/>
    <w:rsid w:val="49AA1C33"/>
    <w:rsid w:val="49D7054F"/>
    <w:rsid w:val="49EC3FFA"/>
    <w:rsid w:val="4A123335"/>
    <w:rsid w:val="4A2117CA"/>
    <w:rsid w:val="4A3749D0"/>
    <w:rsid w:val="4A4D7344"/>
    <w:rsid w:val="4A7D6761"/>
    <w:rsid w:val="4AD131F0"/>
    <w:rsid w:val="4AE35423"/>
    <w:rsid w:val="4AE66C9B"/>
    <w:rsid w:val="4AE7656F"/>
    <w:rsid w:val="4AE9678B"/>
    <w:rsid w:val="4B2E419E"/>
    <w:rsid w:val="4B3317B5"/>
    <w:rsid w:val="4B3774F7"/>
    <w:rsid w:val="4B3D0885"/>
    <w:rsid w:val="4B4C2876"/>
    <w:rsid w:val="4B4E4840"/>
    <w:rsid w:val="4B5160DF"/>
    <w:rsid w:val="4B531E57"/>
    <w:rsid w:val="4B5F79FD"/>
    <w:rsid w:val="4BC4555C"/>
    <w:rsid w:val="4BF70A34"/>
    <w:rsid w:val="4BFC429C"/>
    <w:rsid w:val="4C1930A0"/>
    <w:rsid w:val="4C1B2975"/>
    <w:rsid w:val="4C520360"/>
    <w:rsid w:val="4C8A5D4C"/>
    <w:rsid w:val="4CC90623"/>
    <w:rsid w:val="4CCF550D"/>
    <w:rsid w:val="4CE52F83"/>
    <w:rsid w:val="4CF82CB6"/>
    <w:rsid w:val="4D267823"/>
    <w:rsid w:val="4D2B5402"/>
    <w:rsid w:val="4D331F40"/>
    <w:rsid w:val="4D595308"/>
    <w:rsid w:val="4DA644C0"/>
    <w:rsid w:val="4DD0778F"/>
    <w:rsid w:val="4DD3727F"/>
    <w:rsid w:val="4DF94646"/>
    <w:rsid w:val="4DF96CE5"/>
    <w:rsid w:val="4E485577"/>
    <w:rsid w:val="4E676345"/>
    <w:rsid w:val="4E7C3473"/>
    <w:rsid w:val="4EB14274"/>
    <w:rsid w:val="4EE01C53"/>
    <w:rsid w:val="4EEA0D24"/>
    <w:rsid w:val="4EEB759A"/>
    <w:rsid w:val="4EFA0F67"/>
    <w:rsid w:val="4F343D4D"/>
    <w:rsid w:val="4F3B332E"/>
    <w:rsid w:val="4F5F526E"/>
    <w:rsid w:val="4F5F701C"/>
    <w:rsid w:val="4F610FE6"/>
    <w:rsid w:val="4F7C7BCE"/>
    <w:rsid w:val="4F8C3B89"/>
    <w:rsid w:val="4FD86DCF"/>
    <w:rsid w:val="4FFC486B"/>
    <w:rsid w:val="5006393C"/>
    <w:rsid w:val="502C325A"/>
    <w:rsid w:val="505A0023"/>
    <w:rsid w:val="50642410"/>
    <w:rsid w:val="5066262C"/>
    <w:rsid w:val="5080549C"/>
    <w:rsid w:val="50834F8C"/>
    <w:rsid w:val="50A15412"/>
    <w:rsid w:val="50C03AEB"/>
    <w:rsid w:val="50FB4B23"/>
    <w:rsid w:val="50FE637F"/>
    <w:rsid w:val="510F6820"/>
    <w:rsid w:val="5121409E"/>
    <w:rsid w:val="5156444F"/>
    <w:rsid w:val="51583D23"/>
    <w:rsid w:val="51791EEB"/>
    <w:rsid w:val="517E7983"/>
    <w:rsid w:val="5196484B"/>
    <w:rsid w:val="51A76A58"/>
    <w:rsid w:val="51B15B29"/>
    <w:rsid w:val="51B2610E"/>
    <w:rsid w:val="51BA49DE"/>
    <w:rsid w:val="51BD2EC4"/>
    <w:rsid w:val="51CC64BF"/>
    <w:rsid w:val="51D05FAF"/>
    <w:rsid w:val="51DF7946"/>
    <w:rsid w:val="520420FD"/>
    <w:rsid w:val="524D5852"/>
    <w:rsid w:val="526346D9"/>
    <w:rsid w:val="526768C5"/>
    <w:rsid w:val="528024FB"/>
    <w:rsid w:val="52844E28"/>
    <w:rsid w:val="529139E8"/>
    <w:rsid w:val="52A336C4"/>
    <w:rsid w:val="52A64F62"/>
    <w:rsid w:val="52B61649"/>
    <w:rsid w:val="52DC2732"/>
    <w:rsid w:val="52FA333D"/>
    <w:rsid w:val="532105A3"/>
    <w:rsid w:val="5337070E"/>
    <w:rsid w:val="533C1422"/>
    <w:rsid w:val="537868FE"/>
    <w:rsid w:val="53A616BE"/>
    <w:rsid w:val="53B225E0"/>
    <w:rsid w:val="53DA4EC3"/>
    <w:rsid w:val="53DB0C3B"/>
    <w:rsid w:val="53F87A3F"/>
    <w:rsid w:val="54174F0C"/>
    <w:rsid w:val="541A5C08"/>
    <w:rsid w:val="541D3002"/>
    <w:rsid w:val="541F6242"/>
    <w:rsid w:val="54332825"/>
    <w:rsid w:val="543640C4"/>
    <w:rsid w:val="543E68E8"/>
    <w:rsid w:val="54576514"/>
    <w:rsid w:val="5474356A"/>
    <w:rsid w:val="548D462B"/>
    <w:rsid w:val="54A61249"/>
    <w:rsid w:val="54B90F7D"/>
    <w:rsid w:val="54E029AD"/>
    <w:rsid w:val="54E87AB4"/>
    <w:rsid w:val="54E9053C"/>
    <w:rsid w:val="54EB1352"/>
    <w:rsid w:val="55006BAB"/>
    <w:rsid w:val="55342CF9"/>
    <w:rsid w:val="5543118E"/>
    <w:rsid w:val="557C0CCB"/>
    <w:rsid w:val="5604091D"/>
    <w:rsid w:val="562E14F6"/>
    <w:rsid w:val="56303FDF"/>
    <w:rsid w:val="56470FD4"/>
    <w:rsid w:val="566B274A"/>
    <w:rsid w:val="567C6706"/>
    <w:rsid w:val="569357FD"/>
    <w:rsid w:val="56BC4E15"/>
    <w:rsid w:val="56D025AE"/>
    <w:rsid w:val="56DF6C95"/>
    <w:rsid w:val="56E16569"/>
    <w:rsid w:val="56E524FD"/>
    <w:rsid w:val="56F24C1A"/>
    <w:rsid w:val="570109B9"/>
    <w:rsid w:val="57077B11"/>
    <w:rsid w:val="573568B4"/>
    <w:rsid w:val="575612E0"/>
    <w:rsid w:val="575E2A44"/>
    <w:rsid w:val="577959FD"/>
    <w:rsid w:val="57CB6E0C"/>
    <w:rsid w:val="581035A9"/>
    <w:rsid w:val="582232DD"/>
    <w:rsid w:val="583062CE"/>
    <w:rsid w:val="587651AC"/>
    <w:rsid w:val="5878627D"/>
    <w:rsid w:val="58A14202"/>
    <w:rsid w:val="58D97D6C"/>
    <w:rsid w:val="58EC5D11"/>
    <w:rsid w:val="58EF7663"/>
    <w:rsid w:val="58F24A5D"/>
    <w:rsid w:val="58FA6008"/>
    <w:rsid w:val="594302D2"/>
    <w:rsid w:val="59592D2E"/>
    <w:rsid w:val="59615F2E"/>
    <w:rsid w:val="5976568E"/>
    <w:rsid w:val="597731B4"/>
    <w:rsid w:val="597B2CA5"/>
    <w:rsid w:val="59815DE1"/>
    <w:rsid w:val="598B403E"/>
    <w:rsid w:val="598F04FE"/>
    <w:rsid w:val="59945B14"/>
    <w:rsid w:val="599A0D54"/>
    <w:rsid w:val="59D625D1"/>
    <w:rsid w:val="59E051FD"/>
    <w:rsid w:val="5A0A04CC"/>
    <w:rsid w:val="5A2D1404"/>
    <w:rsid w:val="5A305322"/>
    <w:rsid w:val="5A3D7B18"/>
    <w:rsid w:val="5A625C12"/>
    <w:rsid w:val="5A7140A7"/>
    <w:rsid w:val="5AAE0E58"/>
    <w:rsid w:val="5AB52F4E"/>
    <w:rsid w:val="5ABA15AB"/>
    <w:rsid w:val="5ADA0244"/>
    <w:rsid w:val="5AE6087D"/>
    <w:rsid w:val="5AEB5C08"/>
    <w:rsid w:val="5B0311A3"/>
    <w:rsid w:val="5B060C94"/>
    <w:rsid w:val="5B242EC8"/>
    <w:rsid w:val="5B303F63"/>
    <w:rsid w:val="5B371FF7"/>
    <w:rsid w:val="5B3C4B26"/>
    <w:rsid w:val="5B4A6DD2"/>
    <w:rsid w:val="5B5714EF"/>
    <w:rsid w:val="5B5C4D58"/>
    <w:rsid w:val="5B793214"/>
    <w:rsid w:val="5B7B5AF5"/>
    <w:rsid w:val="5B865931"/>
    <w:rsid w:val="5B8A5421"/>
    <w:rsid w:val="5BCA7F13"/>
    <w:rsid w:val="5BCF1086"/>
    <w:rsid w:val="5C1473E0"/>
    <w:rsid w:val="5C1C68C8"/>
    <w:rsid w:val="5C270EC2"/>
    <w:rsid w:val="5C3929A3"/>
    <w:rsid w:val="5C657C3C"/>
    <w:rsid w:val="5C7341BE"/>
    <w:rsid w:val="5C761E49"/>
    <w:rsid w:val="5C763BF7"/>
    <w:rsid w:val="5C8C51C9"/>
    <w:rsid w:val="5CA359C0"/>
    <w:rsid w:val="5CB84210"/>
    <w:rsid w:val="5CDA4186"/>
    <w:rsid w:val="5CDA5F34"/>
    <w:rsid w:val="5CDD77D2"/>
    <w:rsid w:val="5CE40B61"/>
    <w:rsid w:val="5D121B72"/>
    <w:rsid w:val="5D1C02FB"/>
    <w:rsid w:val="5D363899"/>
    <w:rsid w:val="5D465377"/>
    <w:rsid w:val="5D6D0B56"/>
    <w:rsid w:val="5D7967F9"/>
    <w:rsid w:val="5D972077"/>
    <w:rsid w:val="5DA16A52"/>
    <w:rsid w:val="5DB76645"/>
    <w:rsid w:val="5DBE7604"/>
    <w:rsid w:val="5DF748C4"/>
    <w:rsid w:val="5E5B30A5"/>
    <w:rsid w:val="5E5D506F"/>
    <w:rsid w:val="5E7B72A3"/>
    <w:rsid w:val="5E806603"/>
    <w:rsid w:val="5EA762EA"/>
    <w:rsid w:val="5EAC0D4A"/>
    <w:rsid w:val="5EB17168"/>
    <w:rsid w:val="5EB31543"/>
    <w:rsid w:val="5EB32EE1"/>
    <w:rsid w:val="5EC647D8"/>
    <w:rsid w:val="5EDA66BF"/>
    <w:rsid w:val="5EEB267A"/>
    <w:rsid w:val="5F0152CA"/>
    <w:rsid w:val="5F2142EE"/>
    <w:rsid w:val="5F37766E"/>
    <w:rsid w:val="5F3A53B0"/>
    <w:rsid w:val="5F3D09FC"/>
    <w:rsid w:val="5F8430FE"/>
    <w:rsid w:val="5F8A1E93"/>
    <w:rsid w:val="5F9347C8"/>
    <w:rsid w:val="5F97010C"/>
    <w:rsid w:val="5FBA3DFB"/>
    <w:rsid w:val="5FCD1D80"/>
    <w:rsid w:val="5FCF78A6"/>
    <w:rsid w:val="5FE231A1"/>
    <w:rsid w:val="6017124D"/>
    <w:rsid w:val="606C1599"/>
    <w:rsid w:val="60B42F40"/>
    <w:rsid w:val="60BD0047"/>
    <w:rsid w:val="60C2565D"/>
    <w:rsid w:val="60E008A9"/>
    <w:rsid w:val="610E43FE"/>
    <w:rsid w:val="611B6B1B"/>
    <w:rsid w:val="612754C0"/>
    <w:rsid w:val="619A0388"/>
    <w:rsid w:val="61A134C4"/>
    <w:rsid w:val="61AB3132"/>
    <w:rsid w:val="61C3168D"/>
    <w:rsid w:val="61C40F61"/>
    <w:rsid w:val="62314848"/>
    <w:rsid w:val="62375BD7"/>
    <w:rsid w:val="62516C98"/>
    <w:rsid w:val="62A52B40"/>
    <w:rsid w:val="62B33E70"/>
    <w:rsid w:val="62B64D4D"/>
    <w:rsid w:val="62B81781"/>
    <w:rsid w:val="62C05BCC"/>
    <w:rsid w:val="62CC4571"/>
    <w:rsid w:val="62D84CC4"/>
    <w:rsid w:val="62D96C8E"/>
    <w:rsid w:val="630261E5"/>
    <w:rsid w:val="63141A74"/>
    <w:rsid w:val="63193F43"/>
    <w:rsid w:val="634E4F86"/>
    <w:rsid w:val="635527B8"/>
    <w:rsid w:val="638D6ECA"/>
    <w:rsid w:val="63B868A3"/>
    <w:rsid w:val="63DA4A6C"/>
    <w:rsid w:val="63DC609F"/>
    <w:rsid w:val="63DD630A"/>
    <w:rsid w:val="641C32D6"/>
    <w:rsid w:val="6424218B"/>
    <w:rsid w:val="644B7717"/>
    <w:rsid w:val="64713622"/>
    <w:rsid w:val="64755141"/>
    <w:rsid w:val="64AF7CA6"/>
    <w:rsid w:val="64BF6D54"/>
    <w:rsid w:val="64D37DEA"/>
    <w:rsid w:val="6510219B"/>
    <w:rsid w:val="651E528C"/>
    <w:rsid w:val="654F4FE5"/>
    <w:rsid w:val="655F16CC"/>
    <w:rsid w:val="65646CE3"/>
    <w:rsid w:val="65B0017A"/>
    <w:rsid w:val="65D976D1"/>
    <w:rsid w:val="65F91B21"/>
    <w:rsid w:val="660D2ED6"/>
    <w:rsid w:val="661204ED"/>
    <w:rsid w:val="66124991"/>
    <w:rsid w:val="661C136B"/>
    <w:rsid w:val="662918B0"/>
    <w:rsid w:val="66326DE1"/>
    <w:rsid w:val="6635067F"/>
    <w:rsid w:val="66524D8D"/>
    <w:rsid w:val="6655487D"/>
    <w:rsid w:val="665A00E6"/>
    <w:rsid w:val="66846F11"/>
    <w:rsid w:val="66871EA3"/>
    <w:rsid w:val="66A762C2"/>
    <w:rsid w:val="66D165FA"/>
    <w:rsid w:val="66D94B17"/>
    <w:rsid w:val="671D539B"/>
    <w:rsid w:val="672C3830"/>
    <w:rsid w:val="674566A0"/>
    <w:rsid w:val="674C1036"/>
    <w:rsid w:val="676236F6"/>
    <w:rsid w:val="679A69EC"/>
    <w:rsid w:val="67D31EFE"/>
    <w:rsid w:val="67DD16E6"/>
    <w:rsid w:val="68420E31"/>
    <w:rsid w:val="68497557"/>
    <w:rsid w:val="684B5F38"/>
    <w:rsid w:val="68B65AA7"/>
    <w:rsid w:val="68BC67E4"/>
    <w:rsid w:val="68CF4DBB"/>
    <w:rsid w:val="68DB3760"/>
    <w:rsid w:val="68DE0B5A"/>
    <w:rsid w:val="68FD36D6"/>
    <w:rsid w:val="69224EEB"/>
    <w:rsid w:val="695A0B28"/>
    <w:rsid w:val="695B21AB"/>
    <w:rsid w:val="697F058F"/>
    <w:rsid w:val="69842B01"/>
    <w:rsid w:val="699102C2"/>
    <w:rsid w:val="69D00DEB"/>
    <w:rsid w:val="69F645CB"/>
    <w:rsid w:val="69FD7706"/>
    <w:rsid w:val="6A042842"/>
    <w:rsid w:val="6A070584"/>
    <w:rsid w:val="6A110517"/>
    <w:rsid w:val="6A1B7B8C"/>
    <w:rsid w:val="6A232922"/>
    <w:rsid w:val="6AA656A7"/>
    <w:rsid w:val="6AB73D58"/>
    <w:rsid w:val="6AD06BC8"/>
    <w:rsid w:val="6AD55F8D"/>
    <w:rsid w:val="6B0D3978"/>
    <w:rsid w:val="6B15282D"/>
    <w:rsid w:val="6B264B93"/>
    <w:rsid w:val="6B371AA7"/>
    <w:rsid w:val="6B427AC6"/>
    <w:rsid w:val="6B6F1F3D"/>
    <w:rsid w:val="6B7617CF"/>
    <w:rsid w:val="6B777044"/>
    <w:rsid w:val="6B9B0F84"/>
    <w:rsid w:val="6BAD2A66"/>
    <w:rsid w:val="6BBF2EC5"/>
    <w:rsid w:val="6BC95AF1"/>
    <w:rsid w:val="6BCA186A"/>
    <w:rsid w:val="6BCF0C2E"/>
    <w:rsid w:val="6BDF5315"/>
    <w:rsid w:val="6C027425"/>
    <w:rsid w:val="6C07486C"/>
    <w:rsid w:val="6C276CBC"/>
    <w:rsid w:val="6C477830"/>
    <w:rsid w:val="6C604859"/>
    <w:rsid w:val="6C8B0FF9"/>
    <w:rsid w:val="6CA1081C"/>
    <w:rsid w:val="6CAF118B"/>
    <w:rsid w:val="6CB14367"/>
    <w:rsid w:val="6CBC7404"/>
    <w:rsid w:val="6CF070AE"/>
    <w:rsid w:val="6D192AA9"/>
    <w:rsid w:val="6D2D0302"/>
    <w:rsid w:val="6D5E670D"/>
    <w:rsid w:val="6D633D24"/>
    <w:rsid w:val="6DAD31F1"/>
    <w:rsid w:val="6DC748C4"/>
    <w:rsid w:val="6DCF4F15"/>
    <w:rsid w:val="6DE74955"/>
    <w:rsid w:val="6E0077C5"/>
    <w:rsid w:val="6E184B0E"/>
    <w:rsid w:val="6E4476B1"/>
    <w:rsid w:val="6E9543B1"/>
    <w:rsid w:val="6EBC5389"/>
    <w:rsid w:val="6ED8429D"/>
    <w:rsid w:val="6EF04B9F"/>
    <w:rsid w:val="6F0357BE"/>
    <w:rsid w:val="6F1B2B08"/>
    <w:rsid w:val="6F3B4F58"/>
    <w:rsid w:val="6F7B35A7"/>
    <w:rsid w:val="6F887A72"/>
    <w:rsid w:val="6F98319A"/>
    <w:rsid w:val="6FBE7937"/>
    <w:rsid w:val="6FCA1E38"/>
    <w:rsid w:val="70313C65"/>
    <w:rsid w:val="70553DF8"/>
    <w:rsid w:val="708244C1"/>
    <w:rsid w:val="70F76C5D"/>
    <w:rsid w:val="70FF5B11"/>
    <w:rsid w:val="71096990"/>
    <w:rsid w:val="711200BC"/>
    <w:rsid w:val="7142545A"/>
    <w:rsid w:val="71792D3C"/>
    <w:rsid w:val="719170B1"/>
    <w:rsid w:val="719721EE"/>
    <w:rsid w:val="71B608C6"/>
    <w:rsid w:val="71E35433"/>
    <w:rsid w:val="71E573FD"/>
    <w:rsid w:val="71EC078C"/>
    <w:rsid w:val="71F47640"/>
    <w:rsid w:val="72162CD1"/>
    <w:rsid w:val="723B701D"/>
    <w:rsid w:val="724203AC"/>
    <w:rsid w:val="727A5D97"/>
    <w:rsid w:val="72A33D23"/>
    <w:rsid w:val="72C40DC1"/>
    <w:rsid w:val="730D6C0C"/>
    <w:rsid w:val="731755C9"/>
    <w:rsid w:val="73175EDC"/>
    <w:rsid w:val="731F06ED"/>
    <w:rsid w:val="73A66718"/>
    <w:rsid w:val="73CB617F"/>
    <w:rsid w:val="73D2750D"/>
    <w:rsid w:val="73F13E37"/>
    <w:rsid w:val="73FB2F08"/>
    <w:rsid w:val="745148D6"/>
    <w:rsid w:val="746D116A"/>
    <w:rsid w:val="74BD1F6B"/>
    <w:rsid w:val="74C652C4"/>
    <w:rsid w:val="74E4399C"/>
    <w:rsid w:val="74E4574A"/>
    <w:rsid w:val="74EB4D2A"/>
    <w:rsid w:val="74FD05BA"/>
    <w:rsid w:val="75104791"/>
    <w:rsid w:val="7513602F"/>
    <w:rsid w:val="7535244A"/>
    <w:rsid w:val="753C7334"/>
    <w:rsid w:val="755503F6"/>
    <w:rsid w:val="75581C94"/>
    <w:rsid w:val="75681E19"/>
    <w:rsid w:val="7581743D"/>
    <w:rsid w:val="758D7B90"/>
    <w:rsid w:val="759E1951"/>
    <w:rsid w:val="75AF5D58"/>
    <w:rsid w:val="75B55338"/>
    <w:rsid w:val="75F220E9"/>
    <w:rsid w:val="75FD596C"/>
    <w:rsid w:val="761262E7"/>
    <w:rsid w:val="7613626B"/>
    <w:rsid w:val="761B33ED"/>
    <w:rsid w:val="76253251"/>
    <w:rsid w:val="762736FF"/>
    <w:rsid w:val="762A1882"/>
    <w:rsid w:val="763444AF"/>
    <w:rsid w:val="76397F86"/>
    <w:rsid w:val="765D3A06"/>
    <w:rsid w:val="766905FD"/>
    <w:rsid w:val="76B34DC5"/>
    <w:rsid w:val="771F0CBB"/>
    <w:rsid w:val="772E00BE"/>
    <w:rsid w:val="774E334F"/>
    <w:rsid w:val="7751028F"/>
    <w:rsid w:val="775A1CF3"/>
    <w:rsid w:val="775B5A6C"/>
    <w:rsid w:val="7762504C"/>
    <w:rsid w:val="77737259"/>
    <w:rsid w:val="77DA1086"/>
    <w:rsid w:val="77FA34D6"/>
    <w:rsid w:val="783562BD"/>
    <w:rsid w:val="784F737E"/>
    <w:rsid w:val="7866572F"/>
    <w:rsid w:val="78770683"/>
    <w:rsid w:val="78AE679B"/>
    <w:rsid w:val="78AF797E"/>
    <w:rsid w:val="79052133"/>
    <w:rsid w:val="79091C23"/>
    <w:rsid w:val="792702FB"/>
    <w:rsid w:val="7956298E"/>
    <w:rsid w:val="79690914"/>
    <w:rsid w:val="79856DD0"/>
    <w:rsid w:val="79894B12"/>
    <w:rsid w:val="79A47B9E"/>
    <w:rsid w:val="79A67472"/>
    <w:rsid w:val="79C21DD2"/>
    <w:rsid w:val="7A2D1941"/>
    <w:rsid w:val="7A38281E"/>
    <w:rsid w:val="7A431165"/>
    <w:rsid w:val="7A4647B1"/>
    <w:rsid w:val="7A4D5B40"/>
    <w:rsid w:val="7A61783D"/>
    <w:rsid w:val="7A7237F8"/>
    <w:rsid w:val="7A756E44"/>
    <w:rsid w:val="7A8A69B9"/>
    <w:rsid w:val="7AA5597C"/>
    <w:rsid w:val="7AB84E03"/>
    <w:rsid w:val="7AEA7832"/>
    <w:rsid w:val="7AF44B79"/>
    <w:rsid w:val="7AFD7566"/>
    <w:rsid w:val="7B1623D5"/>
    <w:rsid w:val="7B2E4391"/>
    <w:rsid w:val="7B743384"/>
    <w:rsid w:val="7BA40029"/>
    <w:rsid w:val="7BBF2A6D"/>
    <w:rsid w:val="7BC82AD2"/>
    <w:rsid w:val="7C0C5586"/>
    <w:rsid w:val="7C372603"/>
    <w:rsid w:val="7C3D3992"/>
    <w:rsid w:val="7C4B60AF"/>
    <w:rsid w:val="7C574A54"/>
    <w:rsid w:val="7C765821"/>
    <w:rsid w:val="7C9E2682"/>
    <w:rsid w:val="7CA11E26"/>
    <w:rsid w:val="7CBB76D8"/>
    <w:rsid w:val="7CC85951"/>
    <w:rsid w:val="7CF90BE0"/>
    <w:rsid w:val="7D23702C"/>
    <w:rsid w:val="7D5D42EC"/>
    <w:rsid w:val="7D935F5F"/>
    <w:rsid w:val="7DAE2D99"/>
    <w:rsid w:val="7DEB5D9B"/>
    <w:rsid w:val="7DF804B8"/>
    <w:rsid w:val="7E132BFC"/>
    <w:rsid w:val="7E1370A0"/>
    <w:rsid w:val="7E156974"/>
    <w:rsid w:val="7E837D82"/>
    <w:rsid w:val="7E924469"/>
    <w:rsid w:val="7E953F59"/>
    <w:rsid w:val="7E9C52E7"/>
    <w:rsid w:val="7EB10D93"/>
    <w:rsid w:val="7EB73ECF"/>
    <w:rsid w:val="7EB937A4"/>
    <w:rsid w:val="7EC565EC"/>
    <w:rsid w:val="7EC81C39"/>
    <w:rsid w:val="7ECD36F3"/>
    <w:rsid w:val="7ED1296E"/>
    <w:rsid w:val="7EF23159"/>
    <w:rsid w:val="7F1135E0"/>
    <w:rsid w:val="7F272E03"/>
    <w:rsid w:val="7F2D7CEE"/>
    <w:rsid w:val="7F6D458E"/>
    <w:rsid w:val="7F761695"/>
    <w:rsid w:val="7F792F33"/>
    <w:rsid w:val="7FB0104A"/>
    <w:rsid w:val="7FBB79EF"/>
    <w:rsid w:val="7FCA19E0"/>
    <w:rsid w:val="7FEC1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nhideWhenUsed="0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qFormat="1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等线" w:hAnsi="等线" w:eastAsia="等线" w:cs="Times New Roman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qFormat/>
    <w:uiPriority w:val="9"/>
    <w:pPr>
      <w:spacing w:before="1"/>
      <w:ind w:left="138"/>
      <w:jc w:val="left"/>
      <w:outlineLvl w:val="0"/>
    </w:pPr>
    <w:rPr>
      <w:rFonts w:ascii="黑体" w:hAnsi="黑体" w:eastAsia="黑体"/>
      <w:b/>
      <w:bCs/>
      <w:kern w:val="0"/>
      <w:sz w:val="32"/>
      <w:szCs w:val="32"/>
      <w:lang w:eastAsia="en-US"/>
    </w:rPr>
  </w:style>
  <w:style w:type="paragraph" w:styleId="4">
    <w:name w:val="heading 3"/>
    <w:basedOn w:val="1"/>
    <w:next w:val="1"/>
    <w:qFormat/>
    <w:uiPriority w:val="9"/>
    <w:pPr>
      <w:keepNext/>
      <w:keepLines/>
      <w:spacing w:before="20" w:beforeLines="20" w:after="20" w:afterLines="20" w:line="240" w:lineRule="auto"/>
      <w:outlineLvl w:val="2"/>
    </w:pPr>
    <w:rPr>
      <w:rFonts w:eastAsia="方正仿宋简体" w:cs="Times New Roman"/>
      <w:bCs/>
      <w:sz w:val="32"/>
      <w:szCs w:val="32"/>
    </w:rPr>
  </w:style>
  <w:style w:type="character" w:default="1" w:styleId="12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1"/>
    <w:unhideWhenUsed/>
    <w:qFormat/>
    <w:uiPriority w:val="0"/>
    <w:pPr>
      <w:spacing w:beforeLines="0" w:after="120" w:afterLines="0" w:line="480" w:lineRule="auto"/>
      <w:ind w:left="420" w:leftChars="200"/>
    </w:pPr>
    <w:rPr>
      <w:rFonts w:hint="default"/>
      <w:sz w:val="21"/>
      <w:szCs w:val="22"/>
    </w:rPr>
  </w:style>
  <w:style w:type="paragraph" w:styleId="5">
    <w:name w:val="Body Text"/>
    <w:basedOn w:val="1"/>
    <w:next w:val="6"/>
    <w:qFormat/>
    <w:uiPriority w:val="0"/>
    <w:rPr>
      <w:rFonts w:ascii="Times New Roman" w:hAnsi="Times New Roman" w:eastAsia="方正仿宋简体" w:cs="Times New Roman"/>
      <w:sz w:val="32"/>
      <w:szCs w:val="24"/>
    </w:rPr>
  </w:style>
  <w:style w:type="paragraph" w:styleId="6">
    <w:name w:val="Body Text 2"/>
    <w:basedOn w:val="1"/>
    <w:qFormat/>
    <w:uiPriority w:val="0"/>
    <w:pPr>
      <w:widowControl/>
      <w:spacing w:line="360" w:lineRule="auto"/>
      <w:ind w:firstLine="480" w:firstLineChars="200"/>
      <w:jc w:val="left"/>
    </w:pPr>
    <w:rPr>
      <w:sz w:val="24"/>
    </w:rPr>
  </w:style>
  <w:style w:type="paragraph" w:styleId="7">
    <w:name w:val="Body Text Indent"/>
    <w:basedOn w:val="1"/>
    <w:qFormat/>
    <w:uiPriority w:val="0"/>
    <w:pPr>
      <w:adjustRightInd w:val="0"/>
      <w:ind w:left="960"/>
      <w:textAlignment w:val="baseline"/>
    </w:pPr>
    <w:rPr>
      <w:rFonts w:hint="eastAsia" w:ascii="楷体_GB2312" w:hAnsi="Times New Roman" w:eastAsia="楷体_GB2312" w:cs="Times New Roman"/>
      <w:sz w:val="28"/>
    </w:rPr>
  </w:style>
  <w:style w:type="paragraph" w:styleId="8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9">
    <w:name w:val="Body Text First Indent 2"/>
    <w:basedOn w:val="7"/>
    <w:qFormat/>
    <w:uiPriority w:val="0"/>
    <w:pPr>
      <w:ind w:firstLine="420" w:firstLineChars="200"/>
    </w:pPr>
    <w:rPr>
      <w:rFonts w:ascii="Times New Roman" w:hAnsi="Times New Roman" w:eastAsia="宋体" w:cs="Times New Roman"/>
    </w:rPr>
  </w:style>
  <w:style w:type="table" w:styleId="11">
    <w:name w:val="Table Grid"/>
    <w:basedOn w:val="1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Strong"/>
    <w:basedOn w:val="12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34</Pages>
  <Words>14861</Words>
  <Characters>15479</Characters>
  <Lines>0</Lines>
  <Paragraphs>0</Paragraphs>
  <TotalTime>6</TotalTime>
  <ScaleCrop>false</ScaleCrop>
  <LinksUpToDate>false</LinksUpToDate>
  <CharactersWithSpaces>15519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2025-03-03T02:34:00Z</dcterms:created>
  <dc:creator>Administrator</dc:creator>
  <cp:lastModifiedBy>。</cp:lastModifiedBy>
  <cp:lastPrinted>2025-03-28T04:08:28Z</cp:lastPrinted>
  <dcterms:modified xsi:type="dcterms:W3CDTF">2025-03-28T04:14:13Z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eyJoZGlkIjoiYmI5YzZlZWJmZDYwMGI1YmY2MmNlYzI2ZmY5MWM2NDYiLCJ1c2VySWQiOiIyNDQ2OTg5MTYifQ==</vt:lpwstr>
  </property>
  <property fmtid="{D5CDD505-2E9C-101B-9397-08002B2CF9AE}" pid="4" name="ICV">
    <vt:lpwstr>74532BF4F6F64277B7742CC41D0D4F37_12</vt:lpwstr>
  </property>
</Properties>
</file>