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4F1" w:rsidRDefault="002E740C" w:rsidP="002B34F1">
      <w:r>
        <w:rPr>
          <w:rFonts w:hint="eastAsia"/>
          <w:noProof/>
        </w:rPr>
        <mc:AlternateContent>
          <mc:Choice Requires="wps">
            <w:drawing>
              <wp:anchor distT="0" distB="0" distL="114300" distR="114300" simplePos="0" relativeHeight="251665408" behindDoc="0" locked="0" layoutInCell="1" allowOverlap="1" wp14:anchorId="1F5FE0C4" wp14:editId="3C3E94FF">
                <wp:simplePos x="0" y="0"/>
                <wp:positionH relativeFrom="column">
                  <wp:posOffset>4114800</wp:posOffset>
                </wp:positionH>
                <wp:positionV relativeFrom="paragraph">
                  <wp:posOffset>2828925</wp:posOffset>
                </wp:positionV>
                <wp:extent cx="648335" cy="4972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48335" cy="49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9AD" w:rsidRPr="00A8363D" w:rsidRDefault="009829AD" w:rsidP="00A8363D">
                            <w:pPr>
                              <w:jc w:val="center"/>
                              <w:rPr>
                                <w:rFonts w:ascii="Arial" w:hAnsi="Arial" w:cs="Arial"/>
                                <w:sz w:val="36"/>
                                <w:szCs w:val="36"/>
                              </w:rPr>
                            </w:pPr>
                            <w:r>
                              <w:rPr>
                                <w:rFonts w:ascii="Arial" w:hAnsi="Arial" w:cs="Arial"/>
                                <w:sz w:val="36"/>
                                <w:szCs w:val="36"/>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FE0C4" id="_x0000_t202" coordsize="21600,21600" o:spt="202" path="m,l,21600r21600,l21600,xe">
                <v:stroke joinstyle="miter"/>
                <v:path gradientshapeok="t" o:connecttype="rect"/>
              </v:shapetype>
              <v:shape id="文本框 12" o:spid="_x0000_s1026" type="#_x0000_t202" style="position:absolute;left:0;text-align:left;margin-left:324pt;margin-top:222.75pt;width:51.05pt;height:3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" filled="f" stroked="f" strokeweight=".5pt">
                <v:textbox inset="1mm,1mm,1mm,1mm">
                  <w:txbxContent>
                    <w:p w:rsidR="009829AD" w:rsidRPr="00A8363D" w:rsidRDefault="009829AD" w:rsidP="00A8363D">
                      <w:pPr>
                        <w:jc w:val="center"/>
                        <w:rPr>
                          <w:rFonts w:ascii="Arial" w:hAnsi="Arial" w:cs="Arial"/>
                          <w:sz w:val="36"/>
                          <w:szCs w:val="36"/>
                        </w:rPr>
                      </w:pPr>
                      <w:r>
                        <w:rPr>
                          <w:rFonts w:ascii="Arial" w:hAnsi="Arial" w:cs="Arial"/>
                          <w:sz w:val="36"/>
                          <w:szCs w:val="36"/>
                        </w:rPr>
                        <w:t>3</w:t>
                      </w:r>
                    </w:p>
                  </w:txbxContent>
                </v:textbox>
              </v:shape>
            </w:pict>
          </mc:Fallback>
        </mc:AlternateContent>
      </w:r>
      <w:r w:rsidR="00A8363D">
        <w:rPr>
          <w:rFonts w:hint="eastAsia"/>
          <w:noProof/>
        </w:rPr>
        <mc:AlternateContent>
          <mc:Choice Requires="wps">
            <w:drawing>
              <wp:anchor distT="0" distB="0" distL="114300" distR="114300" simplePos="0" relativeHeight="251661312" behindDoc="0" locked="0" layoutInCell="1" allowOverlap="1" wp14:anchorId="11C0BA25" wp14:editId="29B1DF74">
                <wp:simplePos x="0" y="0"/>
                <wp:positionH relativeFrom="column">
                  <wp:posOffset>2944495</wp:posOffset>
                </wp:positionH>
                <wp:positionV relativeFrom="paragraph">
                  <wp:posOffset>2827655</wp:posOffset>
                </wp:positionV>
                <wp:extent cx="648335" cy="4781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4833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9AD" w:rsidRPr="00A8363D" w:rsidRDefault="009829AD" w:rsidP="00A8363D">
                            <w:pPr>
                              <w:jc w:val="center"/>
                              <w:rPr>
                                <w:rFonts w:ascii="Arial" w:hAnsi="Arial" w:cs="Arial"/>
                                <w:sz w:val="36"/>
                                <w:szCs w:val="36"/>
                              </w:rPr>
                            </w:pPr>
                            <w:r w:rsidRPr="00A8363D">
                              <w:rPr>
                                <w:rFonts w:ascii="Arial" w:hAnsi="Arial" w:cs="Arial"/>
                                <w:sz w:val="36"/>
                                <w:szCs w:val="36"/>
                              </w:rPr>
                              <w:t>1</w:t>
                            </w:r>
                            <w:r>
                              <w:rPr>
                                <w:rFonts w:ascii="Arial" w:hAnsi="Arial" w:cs="Arial"/>
                                <w:sz w:val="36"/>
                                <w:szCs w:val="36"/>
                              </w:rPr>
                              <w:t>8</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A25" id="文本框 10" o:spid="_x0000_s1027" type="#_x0000_t202" style="position:absolute;left:0;text-align:left;margin-left:231.85pt;margin-top:222.65pt;width:51.05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" filled="f" stroked="f" strokeweight=".5pt">
                <v:textbox inset="1mm,1mm,1mm,1mm">
                  <w:txbxContent>
                    <w:p w:rsidR="009829AD" w:rsidRPr="00A8363D" w:rsidRDefault="009829AD" w:rsidP="00A8363D">
                      <w:pPr>
                        <w:jc w:val="center"/>
                        <w:rPr>
                          <w:rFonts w:ascii="Arial" w:hAnsi="Arial" w:cs="Arial"/>
                          <w:sz w:val="36"/>
                          <w:szCs w:val="36"/>
                        </w:rPr>
                      </w:pPr>
                      <w:r w:rsidRPr="00A8363D">
                        <w:rPr>
                          <w:rFonts w:ascii="Arial" w:hAnsi="Arial" w:cs="Arial"/>
                          <w:sz w:val="36"/>
                          <w:szCs w:val="36"/>
                        </w:rPr>
                        <w:t>1</w:t>
                      </w:r>
                      <w:r>
                        <w:rPr>
                          <w:rFonts w:ascii="Arial" w:hAnsi="Arial" w:cs="Arial"/>
                          <w:sz w:val="36"/>
                          <w:szCs w:val="36"/>
                        </w:rPr>
                        <w:t>8</w:t>
                      </w:r>
                    </w:p>
                  </w:txbxContent>
                </v:textbox>
              </v:shape>
            </w:pict>
          </mc:Fallback>
        </mc:AlternateContent>
      </w:r>
      <w:r w:rsidR="00A8363D">
        <w:rPr>
          <w:rFonts w:hint="eastAsia"/>
          <w:noProof/>
        </w:rPr>
        <mc:AlternateContent>
          <mc:Choice Requires="wps">
            <w:drawing>
              <wp:anchor distT="0" distB="0" distL="114300" distR="114300" simplePos="0" relativeHeight="251667456" behindDoc="0" locked="0" layoutInCell="1" allowOverlap="1" wp14:anchorId="5FC729A5" wp14:editId="76958464">
                <wp:simplePos x="0" y="0"/>
                <wp:positionH relativeFrom="column">
                  <wp:posOffset>5256692</wp:posOffset>
                </wp:positionH>
                <wp:positionV relativeFrom="paragraph">
                  <wp:posOffset>3173730</wp:posOffset>
                </wp:positionV>
                <wp:extent cx="648586" cy="4784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48586" cy="47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9AD" w:rsidRPr="00A8363D" w:rsidRDefault="009829AD" w:rsidP="00A8363D">
                            <w:pPr>
                              <w:jc w:val="center"/>
                              <w:rPr>
                                <w:rFonts w:ascii="Arial" w:hAnsi="Arial" w:cs="Arial"/>
                                <w:sz w:val="36"/>
                                <w:szCs w:val="36"/>
                              </w:rPr>
                            </w:pPr>
                            <w:r>
                              <w:rPr>
                                <w:rFonts w:ascii="Arial" w:hAnsi="Arial" w:cs="Arial"/>
                                <w:sz w:val="36"/>
                                <w:szCs w:val="36"/>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29A5" id="文本框 13" o:spid="_x0000_s1028" type="#_x0000_t202" style="position:absolute;left:0;text-align:left;margin-left:413.9pt;margin-top:249.9pt;width:51.05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" filled="f" stroked="f" strokeweight=".5pt">
                <v:textbox inset="1mm,1mm,1mm,1mm">
                  <w:txbxContent>
                    <w:p w:rsidR="009829AD" w:rsidRPr="00A8363D" w:rsidRDefault="009829AD" w:rsidP="00A8363D">
                      <w:pPr>
                        <w:jc w:val="center"/>
                        <w:rPr>
                          <w:rFonts w:ascii="Arial" w:hAnsi="Arial" w:cs="Arial"/>
                          <w:sz w:val="36"/>
                          <w:szCs w:val="36"/>
                        </w:rPr>
                      </w:pPr>
                      <w:r>
                        <w:rPr>
                          <w:rFonts w:ascii="Arial" w:hAnsi="Arial" w:cs="Arial"/>
                          <w:sz w:val="36"/>
                          <w:szCs w:val="36"/>
                        </w:rPr>
                        <w:t>3</w:t>
                      </w:r>
                    </w:p>
                  </w:txbxContent>
                </v:textbox>
              </v:shape>
            </w:pict>
          </mc:Fallback>
        </mc:AlternateContent>
      </w:r>
      <w:r w:rsidR="00A8363D">
        <w:rPr>
          <w:rFonts w:hint="eastAsia"/>
          <w:noProof/>
        </w:rPr>
        <mc:AlternateContent>
          <mc:Choice Requires="wps">
            <w:drawing>
              <wp:anchor distT="0" distB="0" distL="114300" distR="114300" simplePos="0" relativeHeight="251663360" behindDoc="0" locked="0" layoutInCell="1" allowOverlap="1" wp14:anchorId="6104EE48" wp14:editId="15362709">
                <wp:simplePos x="0" y="0"/>
                <wp:positionH relativeFrom="column">
                  <wp:posOffset>3156585</wp:posOffset>
                </wp:positionH>
                <wp:positionV relativeFrom="paragraph">
                  <wp:posOffset>3176743</wp:posOffset>
                </wp:positionV>
                <wp:extent cx="648586" cy="4784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48586" cy="47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9AD" w:rsidRPr="00A8363D" w:rsidRDefault="009829AD" w:rsidP="00A8363D">
                            <w:pPr>
                              <w:jc w:val="center"/>
                              <w:rPr>
                                <w:rFonts w:ascii="Arial" w:hAnsi="Arial" w:cs="Arial"/>
                                <w:sz w:val="36"/>
                                <w:szCs w:val="36"/>
                              </w:rPr>
                            </w:pPr>
                            <w:r w:rsidRPr="00A8363D">
                              <w:rPr>
                                <w:rFonts w:ascii="Arial" w:hAnsi="Arial" w:cs="Arial"/>
                                <w:sz w:val="36"/>
                                <w:szCs w:val="36"/>
                              </w:rPr>
                              <w:t>1</w:t>
                            </w:r>
                            <w:r>
                              <w:rPr>
                                <w:rFonts w:ascii="Arial" w:hAnsi="Arial" w:cs="Arial"/>
                                <w:sz w:val="36"/>
                                <w:szCs w:val="36"/>
                              </w:rPr>
                              <w:t>8</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EE48" id="文本框 11" o:spid="_x0000_s1029" type="#_x0000_t202" style="position:absolute;left:0;text-align:left;margin-left:248.55pt;margin-top:250.15pt;width:51.0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" filled="f" stroked="f" strokeweight=".5pt">
                <v:textbox inset="1mm,1mm,1mm,1mm">
                  <w:txbxContent>
                    <w:p w:rsidR="009829AD" w:rsidRPr="00A8363D" w:rsidRDefault="009829AD" w:rsidP="00A8363D">
                      <w:pPr>
                        <w:jc w:val="center"/>
                        <w:rPr>
                          <w:rFonts w:ascii="Arial" w:hAnsi="Arial" w:cs="Arial"/>
                          <w:sz w:val="36"/>
                          <w:szCs w:val="36"/>
                        </w:rPr>
                      </w:pPr>
                      <w:r w:rsidRPr="00A8363D">
                        <w:rPr>
                          <w:rFonts w:ascii="Arial" w:hAnsi="Arial" w:cs="Arial"/>
                          <w:sz w:val="36"/>
                          <w:szCs w:val="36"/>
                        </w:rPr>
                        <w:t>1</w:t>
                      </w:r>
                      <w:r>
                        <w:rPr>
                          <w:rFonts w:ascii="Arial" w:hAnsi="Arial" w:cs="Arial"/>
                          <w:sz w:val="36"/>
                          <w:szCs w:val="36"/>
                        </w:rPr>
                        <w:t>8</w:t>
                      </w:r>
                    </w:p>
                  </w:txbxContent>
                </v:textbox>
              </v:shape>
            </w:pict>
          </mc:Fallback>
        </mc:AlternateContent>
      </w:r>
      <w:r w:rsidR="00A8363D">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5941857</wp:posOffset>
                </wp:positionH>
                <wp:positionV relativeFrom="paragraph">
                  <wp:posOffset>2976245</wp:posOffset>
                </wp:positionV>
                <wp:extent cx="1063256" cy="648586"/>
                <wp:effectExtent l="0" t="0" r="0" b="3810"/>
                <wp:wrapNone/>
                <wp:docPr id="9" name="文本框 9"/>
                <wp:cNvGraphicFramePr/>
                <a:graphic xmlns:a="http://schemas.openxmlformats.org/drawingml/2006/main">
                  <a:graphicData uri="http://schemas.microsoft.com/office/word/2010/wordprocessingShape">
                    <wps:wsp>
                      <wps:cNvSpPr txBox="1"/>
                      <wps:spPr>
                        <a:xfrm>
                          <a:off x="0" y="0"/>
                          <a:ext cx="1063256" cy="648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9AD" w:rsidRPr="00A8363D" w:rsidRDefault="009829AD" w:rsidP="00A8363D">
                            <w:pPr>
                              <w:jc w:val="center"/>
                              <w:rPr>
                                <w:rFonts w:ascii="Arial" w:hAnsi="Arial" w:cs="Arial"/>
                                <w:b/>
                                <w:sz w:val="48"/>
                                <w:szCs w:val="48"/>
                              </w:rPr>
                            </w:pPr>
                            <w:r w:rsidRPr="00A8363D">
                              <w:rPr>
                                <w:rFonts w:ascii="Arial" w:hAnsi="Arial" w:cs="Arial"/>
                                <w:b/>
                                <w:sz w:val="48"/>
                                <w:szCs w:val="48"/>
                              </w:rPr>
                              <w:t>201</w:t>
                            </w:r>
                            <w:r>
                              <w:rPr>
                                <w:rFonts w:ascii="Arial" w:hAnsi="Arial" w:cs="Arial"/>
                                <w:b/>
                                <w:sz w:val="48"/>
                                <w:szCs w:val="4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文本框 9" o:spid="_x0000_s1030" type="#_x0000_t202" style="position:absolute;left:0;text-align:left;margin-left:467.85pt;margin-top:234.35pt;width:83.7pt;height:5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" filled="f" stroked="f" strokeweight=".5pt">
                <v:textbox style="mso-fit-shape-to-text:t">
                  <w:txbxContent>
                    <w:p w:rsidR="009829AD" w:rsidRPr="00A8363D" w:rsidRDefault="009829AD" w:rsidP="00A8363D">
                      <w:pPr>
                        <w:jc w:val="center"/>
                        <w:rPr>
                          <w:rFonts w:ascii="Arial" w:hAnsi="Arial" w:cs="Arial"/>
                          <w:b/>
                          <w:sz w:val="48"/>
                          <w:szCs w:val="48"/>
                        </w:rPr>
                      </w:pPr>
                      <w:r w:rsidRPr="00A8363D">
                        <w:rPr>
                          <w:rFonts w:ascii="Arial" w:hAnsi="Arial" w:cs="Arial"/>
                          <w:b/>
                          <w:sz w:val="48"/>
                          <w:szCs w:val="48"/>
                        </w:rPr>
                        <w:t>201</w:t>
                      </w:r>
                      <w:r>
                        <w:rPr>
                          <w:rFonts w:ascii="Arial" w:hAnsi="Arial" w:cs="Arial"/>
                          <w:b/>
                          <w:sz w:val="48"/>
                          <w:szCs w:val="48"/>
                        </w:rPr>
                        <w:t>8</w:t>
                      </w:r>
                    </w:p>
                  </w:txbxContent>
                </v:textbox>
              </v:shape>
            </w:pict>
          </mc:Fallback>
        </mc:AlternateContent>
      </w:r>
      <w:r w:rsidR="002B34F1">
        <w:rPr>
          <w:rFonts w:hint="eastAsia"/>
          <w:noProof/>
        </w:rPr>
        <w:drawing>
          <wp:inline distT="0" distB="0" distL="0" distR="0">
            <wp:extent cx="7520397" cy="10635916"/>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药学通讯封面.jpg"/>
                    <pic:cNvPicPr/>
                  </pic:nvPicPr>
                  <pic:blipFill>
                    <a:blip r:embed="rId8" cstate="print">
                      <a:extLst>
                        <a:ext uri="{28A0092B-C50C-407E-A947-70E740481C1C}">
                          <a14:useLocalDpi xmlns:a14="http://schemas.microsoft.com/office/drawing/2010/main"/>
                        </a:ext>
                      </a:extLst>
                    </a:blip>
                    <a:stretch>
                      <a:fillRect/>
                    </a:stretch>
                  </pic:blipFill>
                  <pic:spPr>
                    <a:xfrm>
                      <a:off x="0" y="0"/>
                      <a:ext cx="7537510" cy="10660118"/>
                    </a:xfrm>
                    <a:prstGeom prst="rect">
                      <a:avLst/>
                    </a:prstGeom>
                  </pic:spPr>
                </pic:pic>
              </a:graphicData>
            </a:graphic>
          </wp:inline>
        </w:drawing>
      </w:r>
    </w:p>
    <w:p w:rsidR="002B34F1" w:rsidRDefault="002B34F1" w:rsidP="008D31F1">
      <w:pPr>
        <w:spacing w:beforeLines="200" w:before="800" w:afterLines="100" w:after="400"/>
        <w:jc w:val="center"/>
        <w:rPr>
          <w:b/>
          <w:sz w:val="32"/>
          <w:szCs w:val="32"/>
        </w:rPr>
        <w:sectPr w:rsidR="002B34F1" w:rsidSect="002B34F1">
          <w:headerReference w:type="even" r:id="rId9"/>
          <w:footerReference w:type="even" r:id="rId10"/>
          <w:pgSz w:w="11906" w:h="16838" w:code="9"/>
          <w:pgMar w:top="0" w:right="0" w:bottom="0" w:left="0" w:header="851" w:footer="992" w:gutter="0"/>
          <w:cols w:space="425"/>
          <w:docGrid w:type="lines" w:linePitch="400"/>
        </w:sectPr>
      </w:pPr>
    </w:p>
    <w:p w:rsidR="007D0E07" w:rsidRPr="008D31F1" w:rsidRDefault="008D31F1" w:rsidP="002B34F1">
      <w:pPr>
        <w:spacing w:beforeLines="200" w:before="796" w:afterLines="100" w:after="398"/>
        <w:jc w:val="center"/>
        <w:rPr>
          <w:b/>
          <w:sz w:val="32"/>
          <w:szCs w:val="32"/>
        </w:rPr>
      </w:pPr>
      <w:r w:rsidRPr="008D31F1">
        <w:rPr>
          <w:rFonts w:hint="eastAsia"/>
          <w:b/>
          <w:sz w:val="32"/>
          <w:szCs w:val="32"/>
        </w:rPr>
        <w:lastRenderedPageBreak/>
        <w:t>目　　录</w:t>
      </w:r>
    </w:p>
    <w:p w:rsidR="00804557" w:rsidRPr="00804557" w:rsidRDefault="008A0073">
      <w:pPr>
        <w:pStyle w:val="11"/>
        <w:tabs>
          <w:tab w:val="right" w:leader="dot" w:pos="8494"/>
        </w:tabs>
        <w:rPr>
          <w:rFonts w:ascii="微软雅黑" w:eastAsia="微软雅黑" w:hAnsi="微软雅黑"/>
          <w:noProof/>
          <w:szCs w:val="22"/>
        </w:rPr>
      </w:pPr>
      <w:r w:rsidRPr="00804557">
        <w:rPr>
          <w:rFonts w:ascii="微软雅黑" w:eastAsia="微软雅黑" w:hAnsi="微软雅黑"/>
        </w:rPr>
        <w:fldChar w:fldCharType="begin"/>
      </w:r>
      <w:r w:rsidRPr="00804557">
        <w:rPr>
          <w:rFonts w:ascii="微软雅黑" w:eastAsia="微软雅黑" w:hAnsi="微软雅黑"/>
        </w:rPr>
        <w:instrText xml:space="preserve"> TOC \o "1-2" \h \z \u \n 1-1 </w:instrText>
      </w:r>
      <w:r w:rsidRPr="00804557">
        <w:rPr>
          <w:rFonts w:ascii="微软雅黑" w:eastAsia="微软雅黑" w:hAnsi="微软雅黑"/>
        </w:rPr>
        <w:fldChar w:fldCharType="separate"/>
      </w:r>
      <w:hyperlink w:anchor="_Toc6476538" w:history="1">
        <w:r w:rsidR="00804557" w:rsidRPr="00804557">
          <w:rPr>
            <w:rStyle w:val="aa"/>
            <w:rFonts w:ascii="微软雅黑" w:eastAsia="微软雅黑" w:hAnsi="微软雅黑"/>
            <w:noProof/>
          </w:rPr>
          <w:t>·医药快讯·</w:t>
        </w:r>
      </w:hyperlink>
    </w:p>
    <w:p w:rsidR="00804557" w:rsidRPr="00804557" w:rsidRDefault="009E44FB">
      <w:pPr>
        <w:pStyle w:val="21"/>
        <w:tabs>
          <w:tab w:val="right" w:leader="dot" w:pos="8494"/>
        </w:tabs>
        <w:rPr>
          <w:rFonts w:ascii="微软雅黑" w:eastAsia="微软雅黑" w:hAnsi="微软雅黑"/>
          <w:noProof/>
          <w:szCs w:val="22"/>
        </w:rPr>
      </w:pPr>
      <w:hyperlink w:anchor="_Toc6476539" w:history="1">
        <w:r w:rsidR="00804557" w:rsidRPr="00804557">
          <w:rPr>
            <w:rStyle w:val="aa"/>
            <w:rFonts w:ascii="微软雅黑" w:eastAsia="微软雅黑" w:hAnsi="微软雅黑"/>
            <w:noProof/>
          </w:rPr>
          <w:t>执业药师职业资格制度将变</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_Toc6476539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1</w:t>
        </w:r>
        <w:r w:rsidR="00804557" w:rsidRPr="00804557">
          <w:rPr>
            <w:rFonts w:ascii="微软雅黑" w:eastAsia="微软雅黑" w:hAnsi="微软雅黑"/>
            <w:noProof/>
            <w:webHidden/>
          </w:rPr>
          <w:fldChar w:fldCharType="end"/>
        </w:r>
      </w:hyperlink>
    </w:p>
    <w:p w:rsidR="00804557" w:rsidRPr="00804557" w:rsidRDefault="009E44FB">
      <w:pPr>
        <w:pStyle w:val="21"/>
        <w:tabs>
          <w:tab w:val="right" w:leader="dot" w:pos="8494"/>
        </w:tabs>
        <w:rPr>
          <w:rFonts w:ascii="微软雅黑" w:eastAsia="微软雅黑" w:hAnsi="微软雅黑"/>
          <w:noProof/>
          <w:szCs w:val="22"/>
        </w:rPr>
      </w:pPr>
      <w:hyperlink w:anchor="_Toc6476540" w:history="1">
        <w:r w:rsidR="00804557" w:rsidRPr="00804557">
          <w:rPr>
            <w:rStyle w:val="aa"/>
            <w:rFonts w:ascii="微软雅黑" w:eastAsia="微软雅黑" w:hAnsi="微软雅黑"/>
            <w:noProof/>
          </w:rPr>
          <w:t>坚持基本药物主导地位</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_Toc6476540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1</w:t>
        </w:r>
        <w:r w:rsidR="00804557" w:rsidRPr="00804557">
          <w:rPr>
            <w:rFonts w:ascii="微软雅黑" w:eastAsia="微软雅黑" w:hAnsi="微软雅黑"/>
            <w:noProof/>
            <w:webHidden/>
          </w:rPr>
          <w:fldChar w:fldCharType="end"/>
        </w:r>
      </w:hyperlink>
    </w:p>
    <w:p w:rsidR="00804557" w:rsidRPr="00804557" w:rsidRDefault="009E44FB">
      <w:pPr>
        <w:pStyle w:val="21"/>
        <w:tabs>
          <w:tab w:val="right" w:leader="dot" w:pos="8494"/>
        </w:tabs>
        <w:rPr>
          <w:rFonts w:ascii="微软雅黑" w:eastAsia="微软雅黑" w:hAnsi="微软雅黑"/>
          <w:noProof/>
          <w:szCs w:val="22"/>
        </w:rPr>
      </w:pPr>
      <w:hyperlink w:anchor="_Toc6476541" w:history="1">
        <w:r w:rsidR="00804557" w:rsidRPr="00804557">
          <w:rPr>
            <w:rStyle w:val="aa"/>
            <w:rFonts w:ascii="微软雅黑" w:eastAsia="微软雅黑" w:hAnsi="微软雅黑"/>
            <w:noProof/>
          </w:rPr>
          <w:t>2018年“全国安全用药月”10月开启</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_Toc6476541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3</w:t>
        </w:r>
        <w:r w:rsidR="00804557" w:rsidRPr="00804557">
          <w:rPr>
            <w:rFonts w:ascii="微软雅黑" w:eastAsia="微软雅黑" w:hAnsi="微软雅黑"/>
            <w:noProof/>
            <w:webHidden/>
          </w:rPr>
          <w:fldChar w:fldCharType="end"/>
        </w:r>
      </w:hyperlink>
    </w:p>
    <w:p w:rsidR="00804557" w:rsidRPr="00804557" w:rsidRDefault="009E44FB">
      <w:pPr>
        <w:pStyle w:val="21"/>
        <w:tabs>
          <w:tab w:val="right" w:leader="dot" w:pos="8494"/>
        </w:tabs>
        <w:rPr>
          <w:rFonts w:ascii="微软雅黑" w:eastAsia="微软雅黑" w:hAnsi="微软雅黑"/>
          <w:noProof/>
          <w:szCs w:val="22"/>
        </w:rPr>
      </w:pPr>
      <w:hyperlink w:anchor="_Toc6476542" w:history="1">
        <w:r w:rsidR="00804557" w:rsidRPr="00804557">
          <w:rPr>
            <w:rStyle w:val="aa"/>
            <w:rFonts w:ascii="微软雅黑" w:eastAsia="微软雅黑" w:hAnsi="微软雅黑"/>
            <w:noProof/>
          </w:rPr>
          <w:t>破除以药补医 步子要迈扎实</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_Toc6476542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4</w:t>
        </w:r>
        <w:r w:rsidR="00804557" w:rsidRPr="00804557">
          <w:rPr>
            <w:rFonts w:ascii="微软雅黑" w:eastAsia="微软雅黑" w:hAnsi="微软雅黑"/>
            <w:noProof/>
            <w:webHidden/>
          </w:rPr>
          <w:fldChar w:fldCharType="end"/>
        </w:r>
      </w:hyperlink>
    </w:p>
    <w:p w:rsidR="00804557" w:rsidRPr="00804557" w:rsidRDefault="009E44FB">
      <w:pPr>
        <w:pStyle w:val="11"/>
        <w:tabs>
          <w:tab w:val="right" w:leader="dot" w:pos="8494"/>
        </w:tabs>
        <w:rPr>
          <w:rFonts w:ascii="微软雅黑" w:eastAsia="微软雅黑" w:hAnsi="微软雅黑"/>
          <w:noProof/>
          <w:szCs w:val="22"/>
        </w:rPr>
      </w:pPr>
      <w:hyperlink w:anchor="_Toc6476543" w:history="1">
        <w:r w:rsidR="00804557" w:rsidRPr="00804557">
          <w:rPr>
            <w:rStyle w:val="aa"/>
            <w:rFonts w:ascii="微软雅黑" w:eastAsia="微软雅黑" w:hAnsi="微软雅黑"/>
            <w:noProof/>
          </w:rPr>
          <w:t>·药学论坛·</w:t>
        </w:r>
      </w:hyperlink>
    </w:p>
    <w:p w:rsidR="00804557" w:rsidRPr="00804557" w:rsidRDefault="009E44FB">
      <w:pPr>
        <w:pStyle w:val="21"/>
        <w:tabs>
          <w:tab w:val="right" w:leader="dot" w:pos="8494"/>
        </w:tabs>
        <w:rPr>
          <w:rFonts w:ascii="微软雅黑" w:eastAsia="微软雅黑" w:hAnsi="微软雅黑"/>
          <w:noProof/>
          <w:szCs w:val="22"/>
        </w:rPr>
      </w:pPr>
      <w:hyperlink w:anchor="_Toc6476544" w:history="1">
        <w:r w:rsidR="00804557" w:rsidRPr="00804557">
          <w:rPr>
            <w:rStyle w:val="aa"/>
            <w:rFonts w:ascii="微软雅黑" w:eastAsia="微软雅黑" w:hAnsi="微软雅黑"/>
            <w:noProof/>
          </w:rPr>
          <w:t>对中药临床药学服务的探讨与分析</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_Toc6476544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8</w:t>
        </w:r>
        <w:r w:rsidR="00804557" w:rsidRPr="00804557">
          <w:rPr>
            <w:rFonts w:ascii="微软雅黑" w:eastAsia="微软雅黑" w:hAnsi="微软雅黑"/>
            <w:noProof/>
            <w:webHidden/>
          </w:rPr>
          <w:fldChar w:fldCharType="end"/>
        </w:r>
      </w:hyperlink>
    </w:p>
    <w:p w:rsidR="00804557" w:rsidRPr="00804557" w:rsidRDefault="009E44FB">
      <w:pPr>
        <w:pStyle w:val="21"/>
        <w:tabs>
          <w:tab w:val="right" w:leader="dot" w:pos="8494"/>
        </w:tabs>
        <w:rPr>
          <w:rFonts w:ascii="微软雅黑" w:eastAsia="微软雅黑" w:hAnsi="微软雅黑"/>
          <w:noProof/>
          <w:szCs w:val="22"/>
        </w:rPr>
      </w:pPr>
      <w:hyperlink w:anchor="_Toc6476545" w:history="1">
        <w:r w:rsidR="00804557" w:rsidRPr="00804557">
          <w:rPr>
            <w:rStyle w:val="aa"/>
            <w:rFonts w:ascii="微软雅黑" w:eastAsia="微软雅黑" w:hAnsi="微软雅黑"/>
            <w:noProof/>
          </w:rPr>
          <w:t>简述达比加群酯用于非瓣膜性房颤患者导致消化道出血的影响因素</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_Toc6476545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13</w:t>
        </w:r>
        <w:r w:rsidR="00804557" w:rsidRPr="00804557">
          <w:rPr>
            <w:rFonts w:ascii="微软雅黑" w:eastAsia="微软雅黑" w:hAnsi="微软雅黑"/>
            <w:noProof/>
            <w:webHidden/>
          </w:rPr>
          <w:fldChar w:fldCharType="end"/>
        </w:r>
      </w:hyperlink>
      <w:bookmarkStart w:id="0" w:name="_GoBack"/>
      <w:bookmarkEnd w:id="0"/>
    </w:p>
    <w:p w:rsidR="00804557" w:rsidRPr="00804557" w:rsidRDefault="009E44FB">
      <w:pPr>
        <w:pStyle w:val="21"/>
        <w:tabs>
          <w:tab w:val="right" w:leader="dot" w:pos="8494"/>
        </w:tabs>
        <w:rPr>
          <w:rFonts w:ascii="微软雅黑" w:eastAsia="微软雅黑" w:hAnsi="微软雅黑"/>
          <w:noProof/>
          <w:szCs w:val="22"/>
        </w:rPr>
      </w:pPr>
      <w:hyperlink w:anchor="_Toc6476547" w:history="1">
        <w:r w:rsidR="00804557" w:rsidRPr="00804557">
          <w:rPr>
            <w:rStyle w:val="aa"/>
            <w:rFonts w:ascii="微软雅黑" w:eastAsia="微软雅黑" w:hAnsi="微软雅黑"/>
            <w:noProof/>
          </w:rPr>
          <w:t>牛奶味中药伴侣的配方筛选与验证</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_Toc6476547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16</w:t>
        </w:r>
        <w:r w:rsidR="00804557" w:rsidRPr="00804557">
          <w:rPr>
            <w:rFonts w:ascii="微软雅黑" w:eastAsia="微软雅黑" w:hAnsi="微软雅黑"/>
            <w:noProof/>
            <w:webHidden/>
          </w:rPr>
          <w:fldChar w:fldCharType="end"/>
        </w:r>
      </w:hyperlink>
    </w:p>
    <w:p w:rsidR="00804557" w:rsidRPr="00804557" w:rsidRDefault="009E44FB">
      <w:pPr>
        <w:pStyle w:val="21"/>
        <w:tabs>
          <w:tab w:val="right" w:leader="dot" w:pos="8494"/>
        </w:tabs>
        <w:rPr>
          <w:rFonts w:ascii="微软雅黑" w:eastAsia="微软雅黑" w:hAnsi="微软雅黑"/>
          <w:noProof/>
          <w:szCs w:val="22"/>
        </w:rPr>
      </w:pPr>
      <w:hyperlink w:anchor="_Toc6476548" w:history="1">
        <w:r w:rsidR="00804557" w:rsidRPr="00804557">
          <w:rPr>
            <w:rStyle w:val="aa"/>
            <w:rFonts w:ascii="微软雅黑" w:eastAsia="微软雅黑" w:hAnsi="微软雅黑"/>
            <w:noProof/>
          </w:rPr>
          <w:t>中药提取工艺对药品质量的影响分析</w:t>
        </w:r>
        <w:r w:rsidR="00804557" w:rsidRPr="00804557">
          <w:rPr>
            <w:rFonts w:ascii="微软雅黑" w:eastAsia="微软雅黑" w:hAnsi="微软雅黑"/>
            <w:noProof/>
            <w:webHidden/>
          </w:rPr>
          <w:tab/>
        </w:r>
        <w:r w:rsidR="00804557" w:rsidRPr="00804557">
          <w:rPr>
            <w:rFonts w:ascii="微软雅黑" w:eastAsia="微软雅黑" w:hAnsi="微软雅黑"/>
            <w:noProof/>
            <w:webHidden/>
          </w:rPr>
          <w:fldChar w:fldCharType="begin"/>
        </w:r>
        <w:r w:rsidR="00804557" w:rsidRPr="00804557">
          <w:rPr>
            <w:rFonts w:ascii="微软雅黑" w:eastAsia="微软雅黑" w:hAnsi="微软雅黑"/>
            <w:noProof/>
            <w:webHidden/>
          </w:rPr>
          <w:instrText xml:space="preserve"> PAGEREF _Toc6476548 \h </w:instrText>
        </w:r>
        <w:r w:rsidR="00804557" w:rsidRPr="00804557">
          <w:rPr>
            <w:rFonts w:ascii="微软雅黑" w:eastAsia="微软雅黑" w:hAnsi="微软雅黑"/>
            <w:noProof/>
            <w:webHidden/>
          </w:rPr>
        </w:r>
        <w:r w:rsidR="00804557" w:rsidRPr="00804557">
          <w:rPr>
            <w:rFonts w:ascii="微软雅黑" w:eastAsia="微软雅黑" w:hAnsi="微软雅黑"/>
            <w:noProof/>
            <w:webHidden/>
          </w:rPr>
          <w:fldChar w:fldCharType="separate"/>
        </w:r>
        <w:r w:rsidR="006A1677">
          <w:rPr>
            <w:rFonts w:ascii="微软雅黑" w:eastAsia="微软雅黑" w:hAnsi="微软雅黑"/>
            <w:noProof/>
            <w:webHidden/>
          </w:rPr>
          <w:t>22</w:t>
        </w:r>
        <w:r w:rsidR="00804557" w:rsidRPr="00804557">
          <w:rPr>
            <w:rFonts w:ascii="微软雅黑" w:eastAsia="微软雅黑" w:hAnsi="微软雅黑"/>
            <w:noProof/>
            <w:webHidden/>
          </w:rPr>
          <w:fldChar w:fldCharType="end"/>
        </w:r>
      </w:hyperlink>
    </w:p>
    <w:p w:rsidR="008D31F1" w:rsidRDefault="008A0073">
      <w:r w:rsidRPr="00804557">
        <w:rPr>
          <w:rFonts w:ascii="微软雅黑" w:eastAsia="微软雅黑" w:hAnsi="微软雅黑"/>
        </w:rPr>
        <w:fldChar w:fldCharType="end"/>
      </w:r>
    </w:p>
    <w:p w:rsidR="002B34F1" w:rsidRDefault="002B34F1" w:rsidP="002B34F1">
      <w:pPr>
        <w:sectPr w:rsidR="002B34F1" w:rsidSect="001229BF">
          <w:headerReference w:type="even" r:id="rId11"/>
          <w:headerReference w:type="default" r:id="rId12"/>
          <w:footerReference w:type="default" r:id="rId13"/>
          <w:type w:val="oddPage"/>
          <w:pgSz w:w="11906" w:h="16838" w:code="9"/>
          <w:pgMar w:top="1418" w:right="1701" w:bottom="1418" w:left="1701" w:header="851" w:footer="992" w:gutter="0"/>
          <w:pgNumType w:start="1"/>
          <w:cols w:space="425"/>
          <w:docGrid w:type="lines" w:linePitch="398"/>
        </w:sectPr>
      </w:pPr>
      <w:bookmarkStart w:id="1" w:name="_Toc434501322"/>
      <w:bookmarkStart w:id="2" w:name="_Toc434247131"/>
    </w:p>
    <w:p w:rsidR="0086046E" w:rsidRDefault="008A0073" w:rsidP="0086046E">
      <w:pPr>
        <w:pStyle w:val="1"/>
      </w:pPr>
      <w:bookmarkStart w:id="3" w:name="_Toc6476538"/>
      <w:r>
        <w:rPr>
          <w:rFonts w:hint="eastAsia"/>
        </w:rPr>
        <w:lastRenderedPageBreak/>
        <w:t>·</w:t>
      </w:r>
      <w:r w:rsidR="0086046E">
        <w:rPr>
          <w:rFonts w:hint="eastAsia"/>
        </w:rPr>
        <w:t>医药快讯</w:t>
      </w:r>
      <w:r>
        <w:rPr>
          <w:rFonts w:hint="eastAsia"/>
        </w:rPr>
        <w:t>·</w:t>
      </w:r>
      <w:bookmarkEnd w:id="1"/>
      <w:bookmarkEnd w:id="3"/>
    </w:p>
    <w:p w:rsidR="00C7206B" w:rsidRDefault="00C7206B" w:rsidP="00C7206B">
      <w:pPr>
        <w:pStyle w:val="2"/>
      </w:pPr>
      <w:bookmarkStart w:id="4" w:name="_Toc6476539"/>
      <w:bookmarkStart w:id="5" w:name="_Toc449346574"/>
      <w:bookmarkEnd w:id="2"/>
      <w:r w:rsidRPr="00C7206B">
        <w:rPr>
          <w:rFonts w:hint="eastAsia"/>
        </w:rPr>
        <w:t>执业药师职业资格制度将变</w:t>
      </w:r>
      <w:bookmarkEnd w:id="4"/>
      <w:r w:rsidRPr="00C7206B">
        <w:rPr>
          <w:rFonts w:hint="eastAsia"/>
        </w:rPr>
        <w:t xml:space="preserve"> </w:t>
      </w:r>
    </w:p>
    <w:p w:rsidR="00C7206B" w:rsidRDefault="00C7206B" w:rsidP="009829AD">
      <w:pPr>
        <w:pStyle w:val="a4"/>
        <w:ind w:firstLine="420"/>
        <w:jc w:val="center"/>
        <w:rPr>
          <w:b/>
        </w:rPr>
      </w:pPr>
      <w:r w:rsidRPr="00C7206B">
        <w:rPr>
          <w:rFonts w:hint="eastAsia"/>
        </w:rPr>
        <w:t>（来源：健康报）</w:t>
      </w:r>
    </w:p>
    <w:p w:rsidR="009829AD" w:rsidRPr="006A1677" w:rsidRDefault="00C7206B" w:rsidP="006A1677">
      <w:pPr>
        <w:pStyle w:val="a4"/>
        <w:spacing w:line="360" w:lineRule="auto"/>
        <w:ind w:firstLine="440"/>
        <w:rPr>
          <w:sz w:val="22"/>
        </w:rPr>
      </w:pPr>
      <w:r w:rsidRPr="006A1677">
        <w:rPr>
          <w:rFonts w:hint="eastAsia"/>
          <w:sz w:val="22"/>
        </w:rPr>
        <w:t xml:space="preserve">8 </w:t>
      </w:r>
      <w:r w:rsidRPr="006A1677">
        <w:rPr>
          <w:rFonts w:hint="eastAsia"/>
          <w:sz w:val="22"/>
        </w:rPr>
        <w:t>月</w:t>
      </w:r>
      <w:r w:rsidRPr="006A1677">
        <w:rPr>
          <w:rFonts w:hint="eastAsia"/>
          <w:sz w:val="22"/>
        </w:rPr>
        <w:t xml:space="preserve"> 22 </w:t>
      </w:r>
      <w:r w:rsidRPr="006A1677">
        <w:rPr>
          <w:rFonts w:hint="eastAsia"/>
          <w:sz w:val="22"/>
        </w:rPr>
        <w:t>日，国家药品监督管理局发布《执业药师职业资格制度规定（征求意见稿）》和《执业药师职业资格考试实施办法（征求意见稿）》。根据两个征求意见稿，执业药师资格考试准入学历门槛拟从中专提高到大专，对具有普通高等院校药学类、中药学类大学本科学历者，由原来的在药学或中药学岗位工作满</w:t>
      </w:r>
      <w:r w:rsidRPr="006A1677">
        <w:rPr>
          <w:rFonts w:hint="eastAsia"/>
          <w:sz w:val="22"/>
        </w:rPr>
        <w:t xml:space="preserve"> 3 </w:t>
      </w:r>
      <w:proofErr w:type="gramStart"/>
      <w:r w:rsidRPr="006A1677">
        <w:rPr>
          <w:rFonts w:hint="eastAsia"/>
          <w:sz w:val="22"/>
        </w:rPr>
        <w:t>年修改</w:t>
      </w:r>
      <w:proofErr w:type="gramEnd"/>
      <w:r w:rsidRPr="006A1677">
        <w:rPr>
          <w:rFonts w:hint="eastAsia"/>
          <w:sz w:val="22"/>
        </w:rPr>
        <w:t>为没有工作年限要求；对具有药学类、中药学类相关专业大学本科学历人员的工作年限要求，由原来的在药学或中药学岗位工作满</w:t>
      </w:r>
      <w:r w:rsidRPr="006A1677">
        <w:rPr>
          <w:rFonts w:hint="eastAsia"/>
          <w:sz w:val="22"/>
        </w:rPr>
        <w:t xml:space="preserve">3 </w:t>
      </w:r>
      <w:r w:rsidRPr="006A1677">
        <w:rPr>
          <w:rFonts w:hint="eastAsia"/>
          <w:sz w:val="22"/>
        </w:rPr>
        <w:t>年降为满</w:t>
      </w:r>
      <w:r w:rsidRPr="006A1677">
        <w:rPr>
          <w:rFonts w:hint="eastAsia"/>
          <w:sz w:val="22"/>
        </w:rPr>
        <w:t xml:space="preserve"> 1 </w:t>
      </w:r>
      <w:r w:rsidRPr="006A1677">
        <w:rPr>
          <w:rFonts w:hint="eastAsia"/>
          <w:sz w:val="22"/>
        </w:rPr>
        <w:t>年。</w:t>
      </w:r>
      <w:r w:rsidRPr="006A1677">
        <w:rPr>
          <w:rFonts w:hint="eastAsia"/>
          <w:sz w:val="22"/>
        </w:rPr>
        <w:t xml:space="preserve"> </w:t>
      </w:r>
    </w:p>
    <w:p w:rsidR="00C7206B" w:rsidRPr="006A1677" w:rsidRDefault="00C7206B" w:rsidP="006A1677">
      <w:pPr>
        <w:pStyle w:val="a4"/>
        <w:spacing w:line="360" w:lineRule="auto"/>
        <w:ind w:firstLine="440"/>
        <w:rPr>
          <w:sz w:val="22"/>
        </w:rPr>
      </w:pPr>
      <w:r w:rsidRPr="006A1677">
        <w:rPr>
          <w:rFonts w:hint="eastAsia"/>
          <w:sz w:val="22"/>
        </w:rPr>
        <w:t>《征求意见稿》规定，执业药师注册由省级药品监管机构负责注册管理工作，具体实施可由各省根据本地实际决定；不再要求执业药师注册须经所在单位同意，简化执业药师的注册手续；将《执业药师注册证》有效期由“</w:t>
      </w:r>
      <w:r w:rsidRPr="006A1677">
        <w:rPr>
          <w:rFonts w:hint="eastAsia"/>
          <w:sz w:val="22"/>
        </w:rPr>
        <w:t xml:space="preserve">3 </w:t>
      </w:r>
      <w:r w:rsidRPr="006A1677">
        <w:rPr>
          <w:rFonts w:hint="eastAsia"/>
          <w:sz w:val="22"/>
        </w:rPr>
        <w:t>年”修改为“</w:t>
      </w:r>
      <w:r w:rsidRPr="006A1677">
        <w:rPr>
          <w:rFonts w:hint="eastAsia"/>
          <w:sz w:val="22"/>
        </w:rPr>
        <w:t xml:space="preserve">5 </w:t>
      </w:r>
      <w:r w:rsidRPr="006A1677">
        <w:rPr>
          <w:rFonts w:hint="eastAsia"/>
          <w:sz w:val="22"/>
        </w:rPr>
        <w:t>年”，降低执业药师延续注册频率，方便申请人，节省审评成本。执业药师注册须通过全国执业药师注册管理信息系统进行，其违法违规行为、接受表彰奖励及处分、继续教育学分等重要信息，都将纳入全国执业药师注册管理信息系统。出租出借《执业药师注册证》的，由发证部门宣布证书无效，责令收回或予以没收，</w:t>
      </w:r>
      <w:r w:rsidRPr="006A1677">
        <w:rPr>
          <w:rFonts w:hint="eastAsia"/>
          <w:sz w:val="22"/>
        </w:rPr>
        <w:t xml:space="preserve">3 </w:t>
      </w:r>
      <w:r w:rsidRPr="006A1677">
        <w:rPr>
          <w:rFonts w:hint="eastAsia"/>
          <w:sz w:val="22"/>
        </w:rPr>
        <w:t>年内不予执业药师注册，涉及违规执业药师和违规企业，按照相关法律法规给予处罚。</w:t>
      </w:r>
      <w:r w:rsidRPr="006A1677">
        <w:rPr>
          <w:rFonts w:hint="eastAsia"/>
          <w:sz w:val="22"/>
        </w:rPr>
        <w:t xml:space="preserve">  </w:t>
      </w:r>
    </w:p>
    <w:p w:rsidR="00804557" w:rsidRDefault="00804557" w:rsidP="009829AD">
      <w:pPr>
        <w:pStyle w:val="a4"/>
        <w:ind w:firstLine="422"/>
        <w:rPr>
          <w:b/>
          <w:bCs/>
        </w:rPr>
      </w:pPr>
    </w:p>
    <w:p w:rsidR="00804557" w:rsidRPr="009829AD" w:rsidRDefault="00804557" w:rsidP="00804557">
      <w:pPr>
        <w:pStyle w:val="a4"/>
        <w:ind w:firstLine="422"/>
        <w:jc w:val="center"/>
        <w:rPr>
          <w:b/>
          <w:bCs/>
        </w:rPr>
      </w:pPr>
      <w:r w:rsidRPr="00804557">
        <w:rPr>
          <w:rFonts w:hint="eastAsia"/>
          <w:b/>
          <w:bCs/>
        </w:rPr>
        <w:t>国务院发布《关于完善国家基本药物制度的意见》强调——</w:t>
      </w:r>
    </w:p>
    <w:p w:rsidR="00E40181" w:rsidRDefault="009829AD" w:rsidP="00804557">
      <w:pPr>
        <w:pStyle w:val="2"/>
      </w:pPr>
      <w:bookmarkStart w:id="6" w:name="_Toc6476540"/>
      <w:r w:rsidRPr="009829AD">
        <w:rPr>
          <w:rFonts w:hint="eastAsia"/>
        </w:rPr>
        <w:t>坚持基本药物主导地位</w:t>
      </w:r>
      <w:bookmarkEnd w:id="6"/>
    </w:p>
    <w:p w:rsidR="009829AD" w:rsidRPr="009829AD" w:rsidRDefault="009829AD" w:rsidP="009829AD">
      <w:pPr>
        <w:ind w:firstLineChars="200" w:firstLine="460"/>
        <w:jc w:val="center"/>
      </w:pPr>
      <w:r w:rsidRPr="009829AD">
        <w:rPr>
          <w:rFonts w:hint="eastAsia"/>
          <w:sz w:val="23"/>
          <w:szCs w:val="23"/>
        </w:rPr>
        <w:t>（来源：健康报）</w:t>
      </w:r>
    </w:p>
    <w:p w:rsidR="009829AD" w:rsidRPr="006A1677" w:rsidRDefault="009829AD" w:rsidP="006A1677">
      <w:pPr>
        <w:pStyle w:val="a4"/>
        <w:spacing w:line="360" w:lineRule="auto"/>
        <w:ind w:firstLine="440"/>
        <w:rPr>
          <w:sz w:val="22"/>
        </w:rPr>
      </w:pPr>
      <w:r w:rsidRPr="006A1677">
        <w:rPr>
          <w:rFonts w:hint="eastAsia"/>
          <w:sz w:val="22"/>
        </w:rPr>
        <w:lastRenderedPageBreak/>
        <w:t>9</w:t>
      </w:r>
      <w:r w:rsidRPr="006A1677">
        <w:rPr>
          <w:rFonts w:hint="eastAsia"/>
          <w:sz w:val="22"/>
        </w:rPr>
        <w:t>月</w:t>
      </w:r>
      <w:r w:rsidRPr="006A1677">
        <w:rPr>
          <w:rFonts w:hint="eastAsia"/>
          <w:sz w:val="22"/>
        </w:rPr>
        <w:t>19</w:t>
      </w:r>
      <w:r w:rsidRPr="006A1677">
        <w:rPr>
          <w:rFonts w:hint="eastAsia"/>
          <w:sz w:val="22"/>
        </w:rPr>
        <w:t>日，国务院发布《关于完善国家基本药物制度的意见》，从基本药物制度的遴选、生产、流通、使用、支付、监测等环节完善政策。《意见》明确，要坚持基本药物主导地位，强化医疗机构基本药物使用管理，将基本药物使用情况作为处方点评重点内容，对无正当理由</w:t>
      </w:r>
      <w:proofErr w:type="gramStart"/>
      <w:r w:rsidRPr="006A1677">
        <w:rPr>
          <w:rFonts w:hint="eastAsia"/>
          <w:sz w:val="22"/>
        </w:rPr>
        <w:t>不</w:t>
      </w:r>
      <w:proofErr w:type="gramEnd"/>
      <w:r w:rsidRPr="006A1677">
        <w:rPr>
          <w:rFonts w:hint="eastAsia"/>
          <w:sz w:val="22"/>
        </w:rPr>
        <w:t>首选基本药物的予以通报；对医师、药师和管理人员加大基本药物制度和临床应用指南、处方集培训力度，提高基本药物合理使用和管理水平。</w:t>
      </w:r>
    </w:p>
    <w:p w:rsidR="006A1677" w:rsidRDefault="009829AD" w:rsidP="006A1677">
      <w:pPr>
        <w:pStyle w:val="a4"/>
        <w:spacing w:line="360" w:lineRule="auto"/>
        <w:ind w:firstLine="440"/>
        <w:rPr>
          <w:sz w:val="22"/>
        </w:rPr>
      </w:pPr>
      <w:r w:rsidRPr="006A1677">
        <w:rPr>
          <w:rFonts w:hint="eastAsia"/>
          <w:sz w:val="22"/>
        </w:rPr>
        <w:t>国家基本药物制度以来，对健全药品供应保障体系、保障群众基本用药、减轻患者用药负担发挥了重要作用。同时也存在不完全适应临床基本用药需求、缺乏使用激励机制、仿制品种与原研品种质量疗效存在差距、保障供应机制不健全等问题。《意见》明确，要动态调整优化目录，适应基本医疗卫生需求，以诊疗规范、临床诊疗指南和专家共识为依据，遴选适当数量的基本药物品种，满足常见病、慢性病、应急抢救等主要临床需求。保障生产供应方面要提高有效供给能力，完善采购配送机制，引导形成合理价格，做好上下级医疗机构用药衔接，推进市（县）域内公立医疗机构集中带量采购，鼓励肿瘤等专科医院开展跨区域联合采购。</w:t>
      </w:r>
    </w:p>
    <w:p w:rsidR="009829AD" w:rsidRPr="006A1677" w:rsidRDefault="009829AD" w:rsidP="006A1677">
      <w:pPr>
        <w:pStyle w:val="a4"/>
        <w:spacing w:line="360" w:lineRule="auto"/>
        <w:ind w:firstLine="440"/>
        <w:rPr>
          <w:sz w:val="22"/>
        </w:rPr>
      </w:pPr>
      <w:r w:rsidRPr="006A1677">
        <w:rPr>
          <w:rFonts w:hint="eastAsia"/>
          <w:sz w:val="22"/>
        </w:rPr>
        <w:t>《意见》要求，以省为单位明确公立医疗机构基本药物使用比例，不断提高使用量。药品集中采购平台和医疗机构信息系统应对基本药物进行标注，提示医疗机构优先采购、医生优先使用。医疗机构科学设置临床科室基本药物使用指标，并纳入考核；通过制定药品</w:t>
      </w:r>
      <w:proofErr w:type="gramStart"/>
      <w:r w:rsidRPr="006A1677">
        <w:rPr>
          <w:rFonts w:hint="eastAsia"/>
          <w:sz w:val="22"/>
        </w:rPr>
        <w:t>医</w:t>
      </w:r>
      <w:proofErr w:type="gramEnd"/>
      <w:r w:rsidRPr="006A1677">
        <w:rPr>
          <w:rFonts w:hint="eastAsia"/>
          <w:sz w:val="22"/>
        </w:rPr>
        <w:t>保支付标准等方式，引导合理诊疗、合理用药。实施临床使用监测，重点监测医疗机构基本药物配备品种、使用数量、采购价格、供应配送等信息，及处方用药是否符合诊疗规范；开展以基本药物为重点的药品临床综合评价，指导合理用药。</w:t>
      </w:r>
    </w:p>
    <w:p w:rsidR="009829AD" w:rsidRPr="006A1677" w:rsidRDefault="009829AD" w:rsidP="006A1677">
      <w:pPr>
        <w:pStyle w:val="a4"/>
        <w:spacing w:line="360" w:lineRule="auto"/>
        <w:ind w:firstLine="440"/>
        <w:rPr>
          <w:sz w:val="22"/>
        </w:rPr>
      </w:pPr>
      <w:r w:rsidRPr="006A1677">
        <w:rPr>
          <w:rFonts w:hint="eastAsia"/>
          <w:sz w:val="22"/>
        </w:rPr>
        <w:t>《意见》指出，基本药物目录内的治疗性药品，</w:t>
      </w:r>
      <w:proofErr w:type="gramStart"/>
      <w:r w:rsidRPr="006A1677">
        <w:rPr>
          <w:rFonts w:hint="eastAsia"/>
          <w:sz w:val="22"/>
        </w:rPr>
        <w:t>医</w:t>
      </w:r>
      <w:proofErr w:type="gramEnd"/>
      <w:r w:rsidRPr="006A1677">
        <w:rPr>
          <w:rFonts w:hint="eastAsia"/>
          <w:sz w:val="22"/>
        </w:rPr>
        <w:t>保部门在调整</w:t>
      </w:r>
      <w:proofErr w:type="gramStart"/>
      <w:r w:rsidRPr="006A1677">
        <w:rPr>
          <w:rFonts w:hint="eastAsia"/>
          <w:sz w:val="22"/>
        </w:rPr>
        <w:t>医</w:t>
      </w:r>
      <w:proofErr w:type="gramEnd"/>
      <w:r w:rsidRPr="006A1677">
        <w:rPr>
          <w:rFonts w:hint="eastAsia"/>
          <w:sz w:val="22"/>
        </w:rPr>
        <w:t>保目录时，按程序将符合条件的优先纳入目录范围或调整甲乙分类。探索降低患者负担的有效方式，鼓励地方将基本药物制度与分级诊疗、家庭医生签约、慢病健康管理有机结合，在高血压、糖尿病、严重精神障碍等慢性病管理中，在保证药效前提下优先使用基本药物。</w:t>
      </w:r>
    </w:p>
    <w:p w:rsidR="009829AD" w:rsidRDefault="009829AD" w:rsidP="009829AD"/>
    <w:p w:rsidR="009829AD" w:rsidRDefault="009829AD" w:rsidP="009829AD">
      <w:pPr>
        <w:pStyle w:val="2"/>
      </w:pPr>
      <w:bookmarkStart w:id="7" w:name="_Toc6476541"/>
      <w:r>
        <w:rPr>
          <w:rFonts w:hint="eastAsia"/>
        </w:rPr>
        <w:t>2018</w:t>
      </w:r>
      <w:r>
        <w:rPr>
          <w:rFonts w:hint="eastAsia"/>
        </w:rPr>
        <w:t>年“全国安全用药月”</w:t>
      </w:r>
      <w:r>
        <w:rPr>
          <w:rFonts w:hint="eastAsia"/>
        </w:rPr>
        <w:t>10</w:t>
      </w:r>
      <w:r>
        <w:rPr>
          <w:rFonts w:hint="eastAsia"/>
        </w:rPr>
        <w:t>月开启</w:t>
      </w:r>
      <w:bookmarkEnd w:id="7"/>
    </w:p>
    <w:p w:rsidR="009829AD" w:rsidRDefault="009829AD" w:rsidP="009829AD">
      <w:pPr>
        <w:jc w:val="center"/>
      </w:pPr>
      <w:r>
        <w:rPr>
          <w:rFonts w:hint="eastAsia"/>
        </w:rPr>
        <w:t>（来源：中国医药报）</w:t>
      </w:r>
    </w:p>
    <w:p w:rsidR="009829AD" w:rsidRPr="006A1677" w:rsidRDefault="009829AD" w:rsidP="006A1677">
      <w:pPr>
        <w:spacing w:line="360" w:lineRule="auto"/>
        <w:ind w:firstLineChars="200" w:firstLine="440"/>
        <w:rPr>
          <w:sz w:val="22"/>
        </w:rPr>
      </w:pPr>
      <w:r w:rsidRPr="006A1677">
        <w:rPr>
          <w:rFonts w:hint="eastAsia"/>
          <w:sz w:val="22"/>
        </w:rPr>
        <w:t>9</w:t>
      </w:r>
      <w:r w:rsidRPr="006A1677">
        <w:rPr>
          <w:rFonts w:hint="eastAsia"/>
          <w:sz w:val="22"/>
        </w:rPr>
        <w:t>月</w:t>
      </w:r>
      <w:r w:rsidRPr="006A1677">
        <w:rPr>
          <w:rFonts w:hint="eastAsia"/>
          <w:sz w:val="22"/>
        </w:rPr>
        <w:t>14</w:t>
      </w:r>
      <w:r w:rsidRPr="006A1677">
        <w:rPr>
          <w:rFonts w:hint="eastAsia"/>
          <w:sz w:val="22"/>
        </w:rPr>
        <w:t>日，国家药品监督管理局发布通知，明确将于今年</w:t>
      </w:r>
      <w:r w:rsidRPr="006A1677">
        <w:rPr>
          <w:rFonts w:hint="eastAsia"/>
          <w:sz w:val="22"/>
        </w:rPr>
        <w:t>10</w:t>
      </w:r>
      <w:r w:rsidRPr="006A1677">
        <w:rPr>
          <w:rFonts w:hint="eastAsia"/>
          <w:sz w:val="22"/>
        </w:rPr>
        <w:t>月中旬至</w:t>
      </w:r>
      <w:r w:rsidRPr="006A1677">
        <w:rPr>
          <w:rFonts w:hint="eastAsia"/>
          <w:sz w:val="22"/>
        </w:rPr>
        <w:t>11</w:t>
      </w:r>
      <w:r w:rsidRPr="006A1677">
        <w:rPr>
          <w:rFonts w:hint="eastAsia"/>
          <w:sz w:val="22"/>
        </w:rPr>
        <w:t>月中旬在全国范围内开展</w:t>
      </w:r>
      <w:r w:rsidRPr="006A1677">
        <w:rPr>
          <w:rFonts w:hint="eastAsia"/>
          <w:sz w:val="22"/>
        </w:rPr>
        <w:t>2018</w:t>
      </w:r>
      <w:r w:rsidRPr="006A1677">
        <w:rPr>
          <w:rFonts w:hint="eastAsia"/>
          <w:sz w:val="22"/>
        </w:rPr>
        <w:t>年“全国安全用药月”活动。今年活动主题为“安全用药，共享健康”。</w:t>
      </w:r>
    </w:p>
    <w:p w:rsidR="009829AD" w:rsidRPr="006A1677" w:rsidRDefault="009829AD" w:rsidP="006A1677">
      <w:pPr>
        <w:spacing w:line="360" w:lineRule="auto"/>
        <w:ind w:firstLineChars="200" w:firstLine="440"/>
        <w:rPr>
          <w:sz w:val="22"/>
        </w:rPr>
      </w:pPr>
      <w:r w:rsidRPr="006A1677">
        <w:rPr>
          <w:rFonts w:hint="eastAsia"/>
          <w:sz w:val="22"/>
        </w:rPr>
        <w:t>通知指出，今年是我国改革开放</w:t>
      </w:r>
      <w:r w:rsidRPr="006A1677">
        <w:rPr>
          <w:rFonts w:hint="eastAsia"/>
          <w:sz w:val="22"/>
        </w:rPr>
        <w:t>40</w:t>
      </w:r>
      <w:r w:rsidRPr="006A1677">
        <w:rPr>
          <w:rFonts w:hint="eastAsia"/>
          <w:sz w:val="22"/>
        </w:rPr>
        <w:t>周年，也是新的国家药品监管部门组建第一年。今年活动宣传重点为深入宣传贯彻习近平新时代中国特色社会主义思想和党的十九大和十九届二中、三中全会精神以及党中央、国务院关于药品安全的重大决策部署；结合安全用药主题，积极宣传改革开放</w:t>
      </w:r>
      <w:r w:rsidRPr="006A1677">
        <w:rPr>
          <w:rFonts w:hint="eastAsia"/>
          <w:sz w:val="22"/>
        </w:rPr>
        <w:t>40</w:t>
      </w:r>
      <w:r w:rsidRPr="006A1677">
        <w:rPr>
          <w:rFonts w:hint="eastAsia"/>
          <w:sz w:val="22"/>
        </w:rPr>
        <w:t>年以来药品医疗器械安全领域取得的丰硕成果，增进公众对我国药品安全监管工作的认知和理解；发挥药师、药学专家及相关专业团体的作用，针对不同群体、各自用药需求及存在的认知误区，借助现代传媒和手段，分众化、差异化地宣传安全用药理念和使用知识。</w:t>
      </w:r>
      <w:r w:rsidRPr="006A1677">
        <w:rPr>
          <w:rFonts w:hint="eastAsia"/>
          <w:sz w:val="22"/>
        </w:rPr>
        <w:t xml:space="preserve"> </w:t>
      </w:r>
      <w:r w:rsidRPr="006A1677">
        <w:rPr>
          <w:rFonts w:hint="eastAsia"/>
          <w:sz w:val="22"/>
        </w:rPr>
        <w:t>同时，国家药监局公布了《</w:t>
      </w:r>
      <w:r w:rsidRPr="006A1677">
        <w:rPr>
          <w:rFonts w:hint="eastAsia"/>
          <w:sz w:val="22"/>
        </w:rPr>
        <w:t>2018</w:t>
      </w:r>
      <w:r w:rsidRPr="006A1677">
        <w:rPr>
          <w:rFonts w:hint="eastAsia"/>
          <w:sz w:val="22"/>
        </w:rPr>
        <w:t>年“全国安全用药月”重点活动方案》（以下简称《方案》）。根据《方案》，“全国安全用药月”期间将开展第三届中国药品安全论坛、“安全用药共享健康”第三届互动体验活动、寻找身边最美药师、药品安全校园行、“正确认识疫苗”科普公益行动等</w:t>
      </w:r>
      <w:r w:rsidRPr="006A1677">
        <w:rPr>
          <w:rFonts w:hint="eastAsia"/>
          <w:sz w:val="22"/>
        </w:rPr>
        <w:t>12</w:t>
      </w:r>
      <w:r w:rsidRPr="006A1677">
        <w:rPr>
          <w:rFonts w:hint="eastAsia"/>
          <w:sz w:val="22"/>
        </w:rPr>
        <w:t>项活动。</w:t>
      </w:r>
    </w:p>
    <w:p w:rsidR="009829AD" w:rsidRDefault="009829AD" w:rsidP="006A1677">
      <w:pPr>
        <w:spacing w:line="360" w:lineRule="auto"/>
        <w:ind w:firstLineChars="200" w:firstLine="440"/>
      </w:pPr>
      <w:r w:rsidRPr="006A1677">
        <w:rPr>
          <w:rFonts w:hint="eastAsia"/>
          <w:sz w:val="22"/>
        </w:rPr>
        <w:t>通知要求，各地要参照《方案》，结合本地区实际，策划开展活动，确保各项活动顺利进行并形成规模声势；鼓励和引导社会团体、科研院校、大型企业、新闻媒体、科普组织积极参与，共同开展主题宣传活动。各地活动要使用统一的“全国安全用药月”标志。要加强广电报刊等传统媒体和“两微一端”等新媒体的融合推广，切实形成全媒体全覆盖格局。遵循传播规律，围绕公众关切，不断丰富和完善宣传内容形式。加强“全国安全用药月”期间相关舆情监测，及时</w:t>
      </w:r>
      <w:proofErr w:type="gramStart"/>
      <w:r w:rsidRPr="006A1677">
        <w:rPr>
          <w:rFonts w:hint="eastAsia"/>
          <w:sz w:val="22"/>
        </w:rPr>
        <w:t>研</w:t>
      </w:r>
      <w:proofErr w:type="gramEnd"/>
      <w:r w:rsidRPr="006A1677">
        <w:rPr>
          <w:rFonts w:hint="eastAsia"/>
          <w:sz w:val="22"/>
        </w:rPr>
        <w:t>判，稳妥发布，确保舆论环境平稳有序。</w:t>
      </w:r>
    </w:p>
    <w:p w:rsidR="009829AD" w:rsidRDefault="009829AD" w:rsidP="009829AD">
      <w:pPr>
        <w:pStyle w:val="2"/>
      </w:pPr>
      <w:bookmarkStart w:id="8" w:name="_Toc6476542"/>
      <w:r>
        <w:rPr>
          <w:rFonts w:hint="eastAsia"/>
        </w:rPr>
        <w:lastRenderedPageBreak/>
        <w:t>破除以药补</w:t>
      </w:r>
      <w:proofErr w:type="gramStart"/>
      <w:r>
        <w:rPr>
          <w:rFonts w:hint="eastAsia"/>
        </w:rPr>
        <w:t>医</w:t>
      </w:r>
      <w:proofErr w:type="gramEnd"/>
      <w:r>
        <w:rPr>
          <w:rFonts w:hint="eastAsia"/>
        </w:rPr>
        <w:t xml:space="preserve"> </w:t>
      </w:r>
      <w:r>
        <w:rPr>
          <w:rFonts w:hint="eastAsia"/>
        </w:rPr>
        <w:t>步子要迈扎实</w:t>
      </w:r>
      <w:bookmarkEnd w:id="8"/>
    </w:p>
    <w:p w:rsidR="009829AD" w:rsidRDefault="009829AD" w:rsidP="009829AD">
      <w:pPr>
        <w:ind w:firstLineChars="200" w:firstLine="420"/>
        <w:jc w:val="center"/>
      </w:pPr>
      <w:r>
        <w:rPr>
          <w:rFonts w:hint="eastAsia"/>
        </w:rPr>
        <w:t>（来源：健康报）</w:t>
      </w:r>
    </w:p>
    <w:p w:rsidR="00804557" w:rsidRPr="006A1677" w:rsidRDefault="009829AD" w:rsidP="006A1677">
      <w:pPr>
        <w:spacing w:line="360" w:lineRule="auto"/>
        <w:ind w:firstLineChars="200" w:firstLine="440"/>
        <w:rPr>
          <w:sz w:val="22"/>
        </w:rPr>
      </w:pPr>
      <w:r w:rsidRPr="006A1677">
        <w:rPr>
          <w:rFonts w:hint="eastAsia"/>
          <w:sz w:val="22"/>
        </w:rPr>
        <w:t>“去年</w:t>
      </w:r>
      <w:r w:rsidRPr="006A1677">
        <w:rPr>
          <w:rFonts w:hint="eastAsia"/>
          <w:sz w:val="22"/>
        </w:rPr>
        <w:t>9</w:t>
      </w:r>
      <w:r w:rsidRPr="006A1677">
        <w:rPr>
          <w:rFonts w:hint="eastAsia"/>
          <w:sz w:val="22"/>
        </w:rPr>
        <w:t>月，全面取消药品加成以来，公立医院医疗费用增幅下降了，个人卫生支出占卫生总费用的比重也下降了。这意味着改革取得了良好的效果。”在近日召开的全国政协“巩固破除以药补</w:t>
      </w:r>
      <w:proofErr w:type="gramStart"/>
      <w:r w:rsidRPr="006A1677">
        <w:rPr>
          <w:rFonts w:hint="eastAsia"/>
          <w:sz w:val="22"/>
        </w:rPr>
        <w:t>医</w:t>
      </w:r>
      <w:proofErr w:type="gramEnd"/>
      <w:r w:rsidRPr="006A1677">
        <w:rPr>
          <w:rFonts w:hint="eastAsia"/>
          <w:sz w:val="22"/>
        </w:rPr>
        <w:t>改革成果，完善公立医院运行新机制”双周协商座谈会上，全国政协常委、副秘书长曲凤宏说。</w:t>
      </w:r>
      <w:r w:rsidRPr="006A1677">
        <w:rPr>
          <w:rFonts w:hint="eastAsia"/>
          <w:sz w:val="22"/>
        </w:rPr>
        <w:t xml:space="preserve"> </w:t>
      </w:r>
    </w:p>
    <w:p w:rsidR="00804557" w:rsidRPr="006A1677" w:rsidRDefault="009829AD" w:rsidP="006A1677">
      <w:pPr>
        <w:spacing w:line="360" w:lineRule="auto"/>
        <w:ind w:firstLineChars="200" w:firstLine="440"/>
        <w:rPr>
          <w:sz w:val="22"/>
        </w:rPr>
      </w:pPr>
      <w:r w:rsidRPr="006A1677">
        <w:rPr>
          <w:rFonts w:hint="eastAsia"/>
          <w:sz w:val="22"/>
        </w:rPr>
        <w:t>自今年</w:t>
      </w:r>
      <w:r w:rsidRPr="006A1677">
        <w:rPr>
          <w:rFonts w:hint="eastAsia"/>
          <w:sz w:val="22"/>
        </w:rPr>
        <w:t>4</w:t>
      </w:r>
      <w:r w:rsidRPr="006A1677">
        <w:rPr>
          <w:rFonts w:hint="eastAsia"/>
          <w:sz w:val="22"/>
        </w:rPr>
        <w:t>月以来，全国政协教科卫体委员会与农工党中央调研组，就“巩固破除以药补</w:t>
      </w:r>
      <w:proofErr w:type="gramStart"/>
      <w:r w:rsidRPr="006A1677">
        <w:rPr>
          <w:rFonts w:hint="eastAsia"/>
          <w:sz w:val="22"/>
        </w:rPr>
        <w:t>医</w:t>
      </w:r>
      <w:proofErr w:type="gramEnd"/>
      <w:r w:rsidRPr="006A1677">
        <w:rPr>
          <w:rFonts w:hint="eastAsia"/>
          <w:sz w:val="22"/>
        </w:rPr>
        <w:t>改革成果完善公立医院运行新机制”先后赴北京、陕西、贵州、青海、内蒙古</w:t>
      </w:r>
      <w:r w:rsidRPr="006A1677">
        <w:rPr>
          <w:rFonts w:hint="eastAsia"/>
          <w:sz w:val="22"/>
        </w:rPr>
        <w:t>5</w:t>
      </w:r>
      <w:r w:rsidRPr="006A1677">
        <w:rPr>
          <w:rFonts w:hint="eastAsia"/>
          <w:sz w:val="22"/>
        </w:rPr>
        <w:t>省（区、市）开展调研。在贵州调研期间，余庆县人民医院院长介绍，</w:t>
      </w:r>
      <w:proofErr w:type="gramStart"/>
      <w:r w:rsidRPr="006A1677">
        <w:rPr>
          <w:rFonts w:hint="eastAsia"/>
          <w:sz w:val="22"/>
        </w:rPr>
        <w:t>自取消</w:t>
      </w:r>
      <w:proofErr w:type="gramEnd"/>
      <w:r w:rsidRPr="006A1677">
        <w:rPr>
          <w:rFonts w:hint="eastAsia"/>
          <w:sz w:val="22"/>
        </w:rPr>
        <w:t>药品加成以来，该院的药占比已由原来的</w:t>
      </w:r>
      <w:r w:rsidRPr="006A1677">
        <w:rPr>
          <w:rFonts w:hint="eastAsia"/>
          <w:sz w:val="22"/>
        </w:rPr>
        <w:t>42%</w:t>
      </w:r>
      <w:r w:rsidRPr="006A1677">
        <w:rPr>
          <w:rFonts w:hint="eastAsia"/>
          <w:sz w:val="22"/>
        </w:rPr>
        <w:t>下降到</w:t>
      </w:r>
      <w:r w:rsidRPr="006A1677">
        <w:rPr>
          <w:rFonts w:hint="eastAsia"/>
          <w:sz w:val="22"/>
        </w:rPr>
        <w:t>22.58%</w:t>
      </w:r>
      <w:r w:rsidRPr="006A1677">
        <w:rPr>
          <w:rFonts w:hint="eastAsia"/>
          <w:sz w:val="22"/>
        </w:rPr>
        <w:t>，减少的部分通过调整医疗服务价格等基本实现收支平衡。</w:t>
      </w:r>
    </w:p>
    <w:p w:rsidR="00804557" w:rsidRPr="006A1677" w:rsidRDefault="009829AD" w:rsidP="006A1677">
      <w:pPr>
        <w:spacing w:line="360" w:lineRule="auto"/>
        <w:ind w:firstLineChars="200" w:firstLine="440"/>
        <w:rPr>
          <w:sz w:val="22"/>
        </w:rPr>
      </w:pPr>
      <w:r w:rsidRPr="006A1677">
        <w:rPr>
          <w:rFonts w:hint="eastAsia"/>
          <w:sz w:val="22"/>
        </w:rPr>
        <w:t>座谈会现场，国家卫生健康委员会主任马晓伟表示，截至</w:t>
      </w:r>
      <w:r w:rsidRPr="006A1677">
        <w:rPr>
          <w:rFonts w:hint="eastAsia"/>
          <w:sz w:val="22"/>
        </w:rPr>
        <w:t>2017</w:t>
      </w:r>
      <w:r w:rsidRPr="006A1677">
        <w:rPr>
          <w:rFonts w:hint="eastAsia"/>
          <w:sz w:val="22"/>
        </w:rPr>
        <w:t>年</w:t>
      </w:r>
      <w:r w:rsidRPr="006A1677">
        <w:rPr>
          <w:rFonts w:hint="eastAsia"/>
          <w:sz w:val="22"/>
        </w:rPr>
        <w:t>9</w:t>
      </w:r>
      <w:r w:rsidRPr="006A1677">
        <w:rPr>
          <w:rFonts w:hint="eastAsia"/>
          <w:sz w:val="22"/>
        </w:rPr>
        <w:t>月，全国所有公立医院全部开展综合改革，取消了实行</w:t>
      </w:r>
      <w:r w:rsidRPr="006A1677">
        <w:rPr>
          <w:rFonts w:hint="eastAsia"/>
          <w:sz w:val="22"/>
        </w:rPr>
        <w:t>60</w:t>
      </w:r>
      <w:r w:rsidRPr="006A1677">
        <w:rPr>
          <w:rFonts w:hint="eastAsia"/>
          <w:sz w:val="22"/>
        </w:rPr>
        <w:t>多年的药品加成政策。马晓伟指出，公立医院综合改革目前仍存在取消药品加成后补偿不到位，薪酬未能体现行业特点，药品耗材价格仍然虚高等问题。</w:t>
      </w:r>
      <w:r w:rsidRPr="006A1677">
        <w:rPr>
          <w:rFonts w:hint="eastAsia"/>
          <w:sz w:val="22"/>
        </w:rPr>
        <w:t xml:space="preserve"> </w:t>
      </w:r>
    </w:p>
    <w:p w:rsidR="00804557" w:rsidRPr="006A1677" w:rsidRDefault="009829AD" w:rsidP="006A1677">
      <w:pPr>
        <w:spacing w:line="360" w:lineRule="auto"/>
        <w:ind w:firstLineChars="200" w:firstLine="440"/>
        <w:rPr>
          <w:sz w:val="22"/>
        </w:rPr>
      </w:pPr>
      <w:r w:rsidRPr="006A1677">
        <w:rPr>
          <w:rFonts w:hint="eastAsia"/>
          <w:sz w:val="22"/>
        </w:rPr>
        <w:t>全国政协副主席何维代表调研组</w:t>
      </w:r>
      <w:proofErr w:type="gramStart"/>
      <w:r w:rsidRPr="006A1677">
        <w:rPr>
          <w:rFonts w:hint="eastAsia"/>
          <w:sz w:val="22"/>
        </w:rPr>
        <w:t>作主</w:t>
      </w:r>
      <w:proofErr w:type="gramEnd"/>
      <w:r w:rsidRPr="006A1677">
        <w:rPr>
          <w:rFonts w:hint="eastAsia"/>
          <w:sz w:val="22"/>
        </w:rPr>
        <w:t>题发言时指出，当前要重点做好政府财政投入和完善医疗服务价格调整两项重点工作。</w:t>
      </w:r>
      <w:r w:rsidRPr="006A1677">
        <w:rPr>
          <w:rFonts w:hint="eastAsia"/>
          <w:sz w:val="22"/>
        </w:rPr>
        <w:t xml:space="preserve"> </w:t>
      </w:r>
    </w:p>
    <w:p w:rsidR="00804557" w:rsidRPr="006A1677" w:rsidRDefault="009829AD" w:rsidP="006A1677">
      <w:pPr>
        <w:spacing w:line="360" w:lineRule="auto"/>
        <w:ind w:firstLineChars="200" w:firstLine="440"/>
        <w:rPr>
          <w:sz w:val="22"/>
        </w:rPr>
      </w:pPr>
      <w:r w:rsidRPr="006A1677">
        <w:rPr>
          <w:rFonts w:hint="eastAsia"/>
          <w:sz w:val="22"/>
        </w:rPr>
        <w:t>改革要“小步快走</w:t>
      </w:r>
      <w:proofErr w:type="gramStart"/>
      <w:r w:rsidRPr="006A1677">
        <w:rPr>
          <w:rFonts w:hint="eastAsia"/>
          <w:sz w:val="22"/>
        </w:rPr>
        <w:t>不</w:t>
      </w:r>
      <w:proofErr w:type="gramEnd"/>
      <w:r w:rsidRPr="006A1677">
        <w:rPr>
          <w:rFonts w:hint="eastAsia"/>
          <w:sz w:val="22"/>
        </w:rPr>
        <w:t>停步”</w:t>
      </w:r>
      <w:r w:rsidRPr="006A1677">
        <w:rPr>
          <w:rFonts w:hint="eastAsia"/>
          <w:sz w:val="22"/>
        </w:rPr>
        <w:t xml:space="preserve"> </w:t>
      </w:r>
    </w:p>
    <w:p w:rsidR="00804557" w:rsidRPr="006A1677" w:rsidRDefault="009829AD" w:rsidP="006A1677">
      <w:pPr>
        <w:spacing w:line="360" w:lineRule="auto"/>
        <w:ind w:firstLineChars="200" w:firstLine="440"/>
        <w:rPr>
          <w:sz w:val="22"/>
        </w:rPr>
      </w:pPr>
      <w:r w:rsidRPr="006A1677">
        <w:rPr>
          <w:rFonts w:hint="eastAsia"/>
          <w:sz w:val="22"/>
        </w:rPr>
        <w:t>“据调查，取消药品加成后，还有</w:t>
      </w:r>
      <w:r w:rsidRPr="006A1677">
        <w:rPr>
          <w:rFonts w:hint="eastAsia"/>
          <w:sz w:val="22"/>
        </w:rPr>
        <w:t>50%</w:t>
      </w:r>
      <w:r w:rsidRPr="006A1677">
        <w:rPr>
          <w:rFonts w:hint="eastAsia"/>
          <w:sz w:val="22"/>
        </w:rPr>
        <w:t>的医院价格补偿不到位，</w:t>
      </w:r>
      <w:r w:rsidRPr="006A1677">
        <w:rPr>
          <w:rFonts w:hint="eastAsia"/>
          <w:sz w:val="22"/>
        </w:rPr>
        <w:t>36%</w:t>
      </w:r>
      <w:r w:rsidRPr="006A1677">
        <w:rPr>
          <w:rFonts w:hint="eastAsia"/>
          <w:sz w:val="22"/>
        </w:rPr>
        <w:t>的医院财政补偿不到位，不同地区、不同医院之间差异较大。”座谈会上，全国政协副主席李斌指出，有关部门要督促指导地方政府调整价格，落实政府投入，兑现承诺，确保取消药品加成改革步子迈稳、迈扎实。</w:t>
      </w:r>
    </w:p>
    <w:p w:rsidR="00804557" w:rsidRPr="006A1677" w:rsidRDefault="009829AD" w:rsidP="006A1677">
      <w:pPr>
        <w:spacing w:line="360" w:lineRule="auto"/>
        <w:ind w:firstLineChars="200" w:firstLine="440"/>
        <w:rPr>
          <w:sz w:val="22"/>
        </w:rPr>
      </w:pPr>
      <w:r w:rsidRPr="006A1677">
        <w:rPr>
          <w:rFonts w:hint="eastAsia"/>
          <w:sz w:val="22"/>
        </w:rPr>
        <w:t>李斌表示，医疗服务价格改革要着眼于整个医疗服务价格体系的改革和优化，把重点</w:t>
      </w:r>
      <w:r w:rsidRPr="006A1677">
        <w:rPr>
          <w:rFonts w:hint="eastAsia"/>
          <w:sz w:val="22"/>
        </w:rPr>
        <w:lastRenderedPageBreak/>
        <w:t>放在理顺医疗服务比价关系、体现技术劳务价值上来，逐步实现价格反映价值的改革目标。要统筹安排价格项目调整的顺序、幅度和频次，逐步提高体现医务人员技术劳务价值的诊疗、手术、护理、中医等服务价格。“这项改革任务，要坚持小步快走</w:t>
      </w:r>
      <w:proofErr w:type="gramStart"/>
      <w:r w:rsidRPr="006A1677">
        <w:rPr>
          <w:rFonts w:hint="eastAsia"/>
          <w:sz w:val="22"/>
        </w:rPr>
        <w:t>不</w:t>
      </w:r>
      <w:proofErr w:type="gramEnd"/>
      <w:r w:rsidRPr="006A1677">
        <w:rPr>
          <w:rFonts w:hint="eastAsia"/>
          <w:sz w:val="22"/>
        </w:rPr>
        <w:t>停步。”李斌说。</w:t>
      </w:r>
    </w:p>
    <w:p w:rsidR="00804557" w:rsidRPr="006A1677" w:rsidRDefault="009829AD" w:rsidP="006A1677">
      <w:pPr>
        <w:spacing w:line="360" w:lineRule="auto"/>
        <w:ind w:firstLineChars="200" w:firstLine="440"/>
        <w:rPr>
          <w:sz w:val="22"/>
        </w:rPr>
      </w:pPr>
      <w:r w:rsidRPr="006A1677">
        <w:rPr>
          <w:rFonts w:hint="eastAsia"/>
          <w:sz w:val="22"/>
        </w:rPr>
        <w:t>针对一些地方医疗服务价格调整仅停留在就加成补加成，未建立动态调整机制等问题，全国政协常委、江西省政协副主席谢茹分析认为，从</w:t>
      </w:r>
      <w:proofErr w:type="gramStart"/>
      <w:r w:rsidRPr="006A1677">
        <w:rPr>
          <w:rFonts w:hint="eastAsia"/>
          <w:sz w:val="22"/>
        </w:rPr>
        <w:t>腾空间</w:t>
      </w:r>
      <w:proofErr w:type="gramEnd"/>
      <w:r w:rsidRPr="006A1677">
        <w:rPr>
          <w:rFonts w:hint="eastAsia"/>
          <w:sz w:val="22"/>
        </w:rPr>
        <w:t>看，调价时的经费测算“先天不足”；从调结构看，调整服务项目的数量过少或过多。在经费测算空间基数确定的情况下，出于控物价的考虑，调价项目过少肯定是补不到位，而调价项目过多，对儿童、肿瘤等药</w:t>
      </w:r>
      <w:proofErr w:type="gramStart"/>
      <w:r w:rsidRPr="006A1677">
        <w:rPr>
          <w:rFonts w:hint="eastAsia"/>
          <w:sz w:val="22"/>
        </w:rPr>
        <w:t>占比较</w:t>
      </w:r>
      <w:proofErr w:type="gramEnd"/>
      <w:r w:rsidRPr="006A1677">
        <w:rPr>
          <w:rFonts w:hint="eastAsia"/>
          <w:sz w:val="22"/>
        </w:rPr>
        <w:t>高的专科医院甚至服务能力较弱的综合性医院，会造成调价政策性亏损。</w:t>
      </w:r>
    </w:p>
    <w:p w:rsidR="009829AD" w:rsidRPr="006A1677" w:rsidRDefault="009829AD" w:rsidP="006A1677">
      <w:pPr>
        <w:spacing w:line="360" w:lineRule="auto"/>
        <w:ind w:firstLineChars="200" w:firstLine="440"/>
        <w:rPr>
          <w:sz w:val="22"/>
        </w:rPr>
      </w:pPr>
      <w:r w:rsidRPr="006A1677">
        <w:rPr>
          <w:rFonts w:hint="eastAsia"/>
          <w:sz w:val="22"/>
        </w:rPr>
        <w:t>对此，谢茹建议，建立以成本和收入结构变化为基础的医疗服务价格动态调整机制。具体而言，国家层面组织开展基于“三医联动”改革的综合调价测算平台，随时精确计算</w:t>
      </w:r>
      <w:proofErr w:type="gramStart"/>
      <w:r w:rsidRPr="006A1677">
        <w:rPr>
          <w:rFonts w:hint="eastAsia"/>
          <w:sz w:val="22"/>
        </w:rPr>
        <w:t>医</w:t>
      </w:r>
      <w:proofErr w:type="gramEnd"/>
      <w:r w:rsidRPr="006A1677">
        <w:rPr>
          <w:rFonts w:hint="eastAsia"/>
          <w:sz w:val="22"/>
        </w:rPr>
        <w:t>保资金的支出，动态反映</w:t>
      </w:r>
      <w:r w:rsidRPr="006A1677">
        <w:rPr>
          <w:rFonts w:hint="eastAsia"/>
          <w:sz w:val="22"/>
        </w:rPr>
        <w:t>CPI</w:t>
      </w:r>
      <w:r w:rsidRPr="006A1677">
        <w:rPr>
          <w:rFonts w:hint="eastAsia"/>
          <w:sz w:val="22"/>
        </w:rPr>
        <w:t>指数，及时了解老百姓就医负担情况，准确评估医院运行情况。同时，建立动态调价机制以及省、市、县、乡联调联控机制，对实在难以补偿到位的肿瘤专科医院允许实行灵活的一院</w:t>
      </w:r>
      <w:proofErr w:type="gramStart"/>
      <w:r w:rsidRPr="006A1677">
        <w:rPr>
          <w:rFonts w:hint="eastAsia"/>
          <w:sz w:val="22"/>
        </w:rPr>
        <w:t>一</w:t>
      </w:r>
      <w:proofErr w:type="gramEnd"/>
      <w:r w:rsidRPr="006A1677">
        <w:rPr>
          <w:rFonts w:hint="eastAsia"/>
          <w:sz w:val="22"/>
        </w:rPr>
        <w:t>策。</w:t>
      </w:r>
    </w:p>
    <w:p w:rsidR="00804557" w:rsidRPr="006A1677" w:rsidRDefault="009829AD" w:rsidP="006A1677">
      <w:pPr>
        <w:spacing w:line="360" w:lineRule="auto"/>
        <w:ind w:firstLineChars="200" w:firstLine="440"/>
        <w:rPr>
          <w:sz w:val="22"/>
        </w:rPr>
      </w:pPr>
      <w:r w:rsidRPr="006A1677">
        <w:rPr>
          <w:rFonts w:hint="eastAsia"/>
          <w:sz w:val="22"/>
        </w:rPr>
        <w:t>马晓伟表示，下一步将督促各地不折不扣落实公立医院综合改革方案，兑现改革政策。持续深化医疗服务价格改革，推动各地加快建立以成本和收入结构变化为基础、及时灵活的价格动态调整机制。全面落实政府对符合规划的公立医院投入政策，建立科学合理的长效补偿机制。</w:t>
      </w:r>
      <w:r w:rsidRPr="006A1677">
        <w:rPr>
          <w:rFonts w:hint="eastAsia"/>
          <w:sz w:val="22"/>
        </w:rPr>
        <w:t xml:space="preserve"> </w:t>
      </w:r>
    </w:p>
    <w:p w:rsidR="00804557" w:rsidRPr="006A1677" w:rsidRDefault="009829AD" w:rsidP="006A1677">
      <w:pPr>
        <w:spacing w:line="360" w:lineRule="auto"/>
        <w:ind w:firstLineChars="200" w:firstLine="440"/>
        <w:rPr>
          <w:sz w:val="22"/>
        </w:rPr>
      </w:pPr>
      <w:r w:rsidRPr="006A1677">
        <w:rPr>
          <w:rFonts w:hint="eastAsia"/>
          <w:sz w:val="22"/>
        </w:rPr>
        <w:t>用投入换机制</w:t>
      </w:r>
      <w:r w:rsidRPr="006A1677">
        <w:rPr>
          <w:rFonts w:hint="eastAsia"/>
          <w:sz w:val="22"/>
        </w:rPr>
        <w:t xml:space="preserve"> </w:t>
      </w:r>
    </w:p>
    <w:p w:rsidR="00804557" w:rsidRPr="006A1677" w:rsidRDefault="009829AD" w:rsidP="006A1677">
      <w:pPr>
        <w:spacing w:line="360" w:lineRule="auto"/>
        <w:ind w:firstLineChars="200" w:firstLine="440"/>
        <w:rPr>
          <w:sz w:val="22"/>
        </w:rPr>
      </w:pPr>
      <w:r w:rsidRPr="006A1677">
        <w:rPr>
          <w:rFonts w:hint="eastAsia"/>
          <w:sz w:val="22"/>
        </w:rPr>
        <w:t>“全国财政医疗卫生支出规模总量已经不小且每年还在增长，关键是优化结构，既补需方，也补供方。”李斌表示，当前公立医院综合改革处在关键时期，要进一步加大对供方的直接投入力度，帮助公立医院走上可持续发展道路，实现用投入换机制。</w:t>
      </w:r>
    </w:p>
    <w:p w:rsidR="00804557" w:rsidRPr="006A1677" w:rsidRDefault="009829AD" w:rsidP="006A1677">
      <w:pPr>
        <w:spacing w:line="360" w:lineRule="auto"/>
        <w:ind w:firstLineChars="200" w:firstLine="440"/>
        <w:rPr>
          <w:sz w:val="22"/>
        </w:rPr>
      </w:pPr>
      <w:r w:rsidRPr="006A1677">
        <w:rPr>
          <w:rFonts w:hint="eastAsia"/>
          <w:sz w:val="22"/>
        </w:rPr>
        <w:t>曲凤宏坦言，财政对公立医院基本建设、设备购置、离退休人员经费、重点学科发展、公共服务任务及政策性亏损</w:t>
      </w:r>
      <w:r w:rsidRPr="006A1677">
        <w:rPr>
          <w:rFonts w:hint="eastAsia"/>
          <w:sz w:val="22"/>
        </w:rPr>
        <w:t>6</w:t>
      </w:r>
      <w:r w:rsidRPr="006A1677">
        <w:rPr>
          <w:rFonts w:hint="eastAsia"/>
          <w:sz w:val="22"/>
        </w:rPr>
        <w:t>项补助资金与要求有较大差距，部分医院负债率仍然较高。</w:t>
      </w:r>
      <w:r w:rsidRPr="006A1677">
        <w:rPr>
          <w:rFonts w:hint="eastAsia"/>
          <w:sz w:val="22"/>
        </w:rPr>
        <w:lastRenderedPageBreak/>
        <w:t>建议落实政府投入责任，化解好历史性债务。其中，中央财政对不同地区、不同级别公立医院给予差异化补偿，地方财政对本级政府举办的公立医院加大投入力度，切实落实政府</w:t>
      </w:r>
      <w:r w:rsidRPr="006A1677">
        <w:rPr>
          <w:rFonts w:hint="eastAsia"/>
          <w:sz w:val="22"/>
        </w:rPr>
        <w:t>6</w:t>
      </w:r>
      <w:r w:rsidRPr="006A1677">
        <w:rPr>
          <w:rFonts w:hint="eastAsia"/>
          <w:sz w:val="22"/>
        </w:rPr>
        <w:t>项投入责任，同时就公立医院历史性债务化解出台专门政策，使公立医院在改革中“轻装上阵”。</w:t>
      </w:r>
    </w:p>
    <w:p w:rsidR="00804557" w:rsidRPr="006A1677" w:rsidRDefault="009829AD" w:rsidP="006A1677">
      <w:pPr>
        <w:spacing w:line="360" w:lineRule="auto"/>
        <w:ind w:firstLineChars="200" w:firstLine="440"/>
        <w:rPr>
          <w:sz w:val="22"/>
        </w:rPr>
      </w:pPr>
      <w:r w:rsidRPr="006A1677">
        <w:rPr>
          <w:rFonts w:hint="eastAsia"/>
          <w:sz w:val="22"/>
        </w:rPr>
        <w:t>全国政协常委、农工党四川省主委王正荣以专科医院为例指出，传染病等专科医院承担了大量公共卫生职能，服务单一，费用低，取消药品加成后，绝大多数医院运行困难，问题十分突出，表现之一就是政府财政投入长期严重不足，专科医院建设主要依靠自筹资金，地方政府很少给予专项支付，一些基本补偿都没有到位。建议实行差别</w:t>
      </w:r>
      <w:proofErr w:type="gramStart"/>
      <w:r w:rsidRPr="006A1677">
        <w:rPr>
          <w:rFonts w:hint="eastAsia"/>
          <w:sz w:val="22"/>
        </w:rPr>
        <w:t>化财政</w:t>
      </w:r>
      <w:proofErr w:type="gramEnd"/>
      <w:r w:rsidRPr="006A1677">
        <w:rPr>
          <w:rFonts w:hint="eastAsia"/>
          <w:sz w:val="22"/>
        </w:rPr>
        <w:t>政策，同时中央财政应对西部和贫困地区专科医院实行</w:t>
      </w:r>
      <w:proofErr w:type="gramStart"/>
      <w:r w:rsidRPr="006A1677">
        <w:rPr>
          <w:rFonts w:hint="eastAsia"/>
          <w:sz w:val="22"/>
        </w:rPr>
        <w:t>财政直补政策</w:t>
      </w:r>
      <w:proofErr w:type="gramEnd"/>
      <w:r w:rsidRPr="006A1677">
        <w:rPr>
          <w:rFonts w:hint="eastAsia"/>
          <w:sz w:val="22"/>
        </w:rPr>
        <w:t>，杜绝财政补助不到位问题。</w:t>
      </w:r>
    </w:p>
    <w:p w:rsidR="00804557" w:rsidRPr="006A1677" w:rsidRDefault="009829AD" w:rsidP="006A1677">
      <w:pPr>
        <w:spacing w:line="360" w:lineRule="auto"/>
        <w:ind w:firstLineChars="200" w:firstLine="440"/>
        <w:rPr>
          <w:sz w:val="22"/>
        </w:rPr>
      </w:pPr>
      <w:r w:rsidRPr="006A1677">
        <w:rPr>
          <w:rFonts w:hint="eastAsia"/>
          <w:sz w:val="22"/>
        </w:rPr>
        <w:t>全国政协委员、北京市卫生计生委原党委书记方来英表示，在现代医院管理制度实施过程中，政府必须向医院管理者明确政府义务，如财政拨款、编制管理、薪酬控制、基建投入、</w:t>
      </w:r>
      <w:proofErr w:type="gramStart"/>
      <w:r w:rsidRPr="006A1677">
        <w:rPr>
          <w:rFonts w:hint="eastAsia"/>
          <w:sz w:val="22"/>
        </w:rPr>
        <w:t>医</w:t>
      </w:r>
      <w:proofErr w:type="gramEnd"/>
      <w:r w:rsidRPr="006A1677">
        <w:rPr>
          <w:rFonts w:hint="eastAsia"/>
          <w:sz w:val="22"/>
        </w:rPr>
        <w:t>保政策等。政府部门应带头落实文件要求。建议建立国家地区卫生绩效考核制度和发展评价制度，将考核结果纳入政绩评价体系中。</w:t>
      </w:r>
    </w:p>
    <w:p w:rsidR="00804557" w:rsidRPr="006A1677" w:rsidRDefault="009829AD" w:rsidP="006A1677">
      <w:pPr>
        <w:spacing w:line="360" w:lineRule="auto"/>
        <w:ind w:firstLineChars="200" w:firstLine="440"/>
        <w:rPr>
          <w:sz w:val="22"/>
        </w:rPr>
      </w:pPr>
      <w:r w:rsidRPr="006A1677">
        <w:rPr>
          <w:rFonts w:hint="eastAsia"/>
          <w:sz w:val="22"/>
        </w:rPr>
        <w:t>财政部副部长</w:t>
      </w:r>
      <w:proofErr w:type="gramStart"/>
      <w:r w:rsidRPr="006A1677">
        <w:rPr>
          <w:rFonts w:hint="eastAsia"/>
          <w:sz w:val="22"/>
        </w:rPr>
        <w:t>余蔚平表示</w:t>
      </w:r>
      <w:proofErr w:type="gramEnd"/>
      <w:r w:rsidRPr="006A1677">
        <w:rPr>
          <w:rFonts w:hint="eastAsia"/>
          <w:sz w:val="22"/>
        </w:rPr>
        <w:t>，今年</w:t>
      </w:r>
      <w:r w:rsidRPr="006A1677">
        <w:rPr>
          <w:rFonts w:hint="eastAsia"/>
          <w:sz w:val="22"/>
        </w:rPr>
        <w:t>7</w:t>
      </w:r>
      <w:r w:rsidRPr="006A1677">
        <w:rPr>
          <w:rFonts w:hint="eastAsia"/>
          <w:sz w:val="22"/>
        </w:rPr>
        <w:t>月，国务院办公厅印发了《医疗卫生领域中央与地方财政事权和支出责任划分改革方案》，从公共卫生、医疗保障、计划生育、能力建设</w:t>
      </w:r>
      <w:r w:rsidRPr="006A1677">
        <w:rPr>
          <w:rFonts w:hint="eastAsia"/>
          <w:sz w:val="22"/>
        </w:rPr>
        <w:t>4</w:t>
      </w:r>
      <w:r w:rsidRPr="006A1677">
        <w:rPr>
          <w:rFonts w:hint="eastAsia"/>
          <w:sz w:val="22"/>
        </w:rPr>
        <w:t>方面强化了中央的责任，完善了分担的办法，推进了项目的整合。下一步，将把具有全国性、跨区域的重大传染病防控项目上划到中央财政事权。同时，在分担比例方面，继续坚持向中西部地区倾斜，并适当提高中央财政对部分东部地区的补助比例。中央财政要按照改革方案的要求，对应当由中央承担的部分，足额安排预算资金。在压实地方责任方面，</w:t>
      </w:r>
      <w:proofErr w:type="gramStart"/>
      <w:r w:rsidRPr="006A1677">
        <w:rPr>
          <w:rFonts w:hint="eastAsia"/>
          <w:sz w:val="22"/>
        </w:rPr>
        <w:t>余蔚平表示</w:t>
      </w:r>
      <w:proofErr w:type="gramEnd"/>
      <w:r w:rsidRPr="006A1677">
        <w:rPr>
          <w:rFonts w:hint="eastAsia"/>
          <w:sz w:val="22"/>
        </w:rPr>
        <w:t>，针对一些地方政府在落实责任方面存在的缺口和困难，督促上级政府加大转移支付予以弥补。同时，中央财政在安排转移支付时，进一步加大对困难地区倾斜的力度。他还强调，强化“花钱问效、无效问责”理念，建立健全考核评价结果与转移支付资金分配挂钩的机制。</w:t>
      </w:r>
    </w:p>
    <w:p w:rsidR="00804557" w:rsidRPr="006A1677" w:rsidRDefault="009829AD" w:rsidP="006A1677">
      <w:pPr>
        <w:spacing w:line="360" w:lineRule="auto"/>
        <w:ind w:firstLineChars="200" w:firstLine="440"/>
        <w:rPr>
          <w:sz w:val="22"/>
        </w:rPr>
      </w:pPr>
      <w:r w:rsidRPr="006A1677">
        <w:rPr>
          <w:rFonts w:hint="eastAsia"/>
          <w:sz w:val="22"/>
        </w:rPr>
        <w:lastRenderedPageBreak/>
        <w:t>注重系统、整体和协调</w:t>
      </w:r>
    </w:p>
    <w:p w:rsidR="009829AD" w:rsidRPr="006A1677" w:rsidRDefault="009829AD" w:rsidP="006A1677">
      <w:pPr>
        <w:spacing w:line="360" w:lineRule="auto"/>
        <w:ind w:firstLineChars="200" w:firstLine="440"/>
        <w:rPr>
          <w:sz w:val="22"/>
        </w:rPr>
      </w:pPr>
      <w:r w:rsidRPr="006A1677">
        <w:rPr>
          <w:rFonts w:hint="eastAsia"/>
          <w:sz w:val="22"/>
        </w:rPr>
        <w:t>众所周知，医疗、</w:t>
      </w:r>
      <w:proofErr w:type="gramStart"/>
      <w:r w:rsidRPr="006A1677">
        <w:rPr>
          <w:rFonts w:hint="eastAsia"/>
          <w:sz w:val="22"/>
        </w:rPr>
        <w:t>医</w:t>
      </w:r>
      <w:proofErr w:type="gramEnd"/>
      <w:r w:rsidRPr="006A1677">
        <w:rPr>
          <w:rFonts w:hint="eastAsia"/>
          <w:sz w:val="22"/>
        </w:rPr>
        <w:t>保、医药是公立医院综合改革的三驾马车。在改革过程中，更应注重系统性、整体性和协调性。李斌表示，这次机构改革成立</w:t>
      </w:r>
      <w:proofErr w:type="gramStart"/>
      <w:r w:rsidRPr="006A1677">
        <w:rPr>
          <w:rFonts w:hint="eastAsia"/>
          <w:sz w:val="22"/>
        </w:rPr>
        <w:t>医</w:t>
      </w:r>
      <w:proofErr w:type="gramEnd"/>
      <w:r w:rsidRPr="006A1677">
        <w:rPr>
          <w:rFonts w:hint="eastAsia"/>
          <w:sz w:val="22"/>
        </w:rPr>
        <w:t>保局，并赋予推进医疗、</w:t>
      </w:r>
      <w:proofErr w:type="gramStart"/>
      <w:r w:rsidRPr="006A1677">
        <w:rPr>
          <w:rFonts w:hint="eastAsia"/>
          <w:sz w:val="22"/>
        </w:rPr>
        <w:t>医</w:t>
      </w:r>
      <w:proofErr w:type="gramEnd"/>
      <w:r w:rsidRPr="006A1677">
        <w:rPr>
          <w:rFonts w:hint="eastAsia"/>
          <w:sz w:val="22"/>
        </w:rPr>
        <w:t>保、医药“三医联动”改革的职责，为深入推进公立医院综合改革提供了良机。相关部门要密切配合，形成改革合力和叠加效应。</w:t>
      </w:r>
    </w:p>
    <w:p w:rsidR="00804557" w:rsidRPr="006A1677" w:rsidRDefault="009829AD" w:rsidP="006A1677">
      <w:pPr>
        <w:spacing w:line="360" w:lineRule="auto"/>
        <w:ind w:firstLineChars="200" w:firstLine="440"/>
        <w:rPr>
          <w:sz w:val="22"/>
        </w:rPr>
      </w:pPr>
      <w:proofErr w:type="gramStart"/>
      <w:r w:rsidRPr="006A1677">
        <w:rPr>
          <w:rFonts w:hint="eastAsia"/>
          <w:sz w:val="22"/>
        </w:rPr>
        <w:t>医</w:t>
      </w:r>
      <w:proofErr w:type="gramEnd"/>
      <w:r w:rsidRPr="006A1677">
        <w:rPr>
          <w:rFonts w:hint="eastAsia"/>
          <w:sz w:val="22"/>
        </w:rPr>
        <w:t>保支付方式改革不平衡是委员们反映的一个突出问题。曲凤宏表示，一些地方按病种付费覆盖的病种和病例不足，</w:t>
      </w:r>
      <w:proofErr w:type="gramStart"/>
      <w:r w:rsidRPr="006A1677">
        <w:rPr>
          <w:rFonts w:hint="eastAsia"/>
          <w:sz w:val="22"/>
        </w:rPr>
        <w:t>医</w:t>
      </w:r>
      <w:proofErr w:type="gramEnd"/>
      <w:r w:rsidRPr="006A1677">
        <w:rPr>
          <w:rFonts w:hint="eastAsia"/>
          <w:sz w:val="22"/>
        </w:rPr>
        <w:t>保杠杆作用发挥不够，还存在有些药品、耗材价格仍然虚高，过度检查、过度医疗、不合理用药及隐性回扣等问题。建议由新组建的国家</w:t>
      </w:r>
      <w:proofErr w:type="gramStart"/>
      <w:r w:rsidRPr="006A1677">
        <w:rPr>
          <w:rFonts w:hint="eastAsia"/>
          <w:sz w:val="22"/>
        </w:rPr>
        <w:t>医</w:t>
      </w:r>
      <w:proofErr w:type="gramEnd"/>
      <w:r w:rsidRPr="006A1677">
        <w:rPr>
          <w:rFonts w:hint="eastAsia"/>
          <w:sz w:val="22"/>
        </w:rPr>
        <w:t>保局牵头，加快</w:t>
      </w:r>
      <w:proofErr w:type="gramStart"/>
      <w:r w:rsidRPr="006A1677">
        <w:rPr>
          <w:rFonts w:hint="eastAsia"/>
          <w:sz w:val="22"/>
        </w:rPr>
        <w:t>医</w:t>
      </w:r>
      <w:proofErr w:type="gramEnd"/>
      <w:r w:rsidRPr="006A1677">
        <w:rPr>
          <w:rFonts w:hint="eastAsia"/>
          <w:sz w:val="22"/>
        </w:rPr>
        <w:t>保支付方式改革，推进按疾病诊断相关分组收付费制度改革。</w:t>
      </w:r>
    </w:p>
    <w:p w:rsidR="009829AD" w:rsidRPr="006A1677" w:rsidRDefault="009829AD" w:rsidP="006A1677">
      <w:pPr>
        <w:spacing w:line="360" w:lineRule="auto"/>
        <w:ind w:firstLineChars="200" w:firstLine="440"/>
        <w:rPr>
          <w:sz w:val="22"/>
        </w:rPr>
      </w:pPr>
      <w:r w:rsidRPr="006A1677">
        <w:rPr>
          <w:rFonts w:hint="eastAsia"/>
          <w:sz w:val="22"/>
        </w:rPr>
        <w:t>国家医疗保障局局长胡静林表示，在目前财政补贴、医疗服务价格调整已经取得初步成效的情况下，要降低耗材使用比例、降低药价，同时增加医疗人员服务性收入，</w:t>
      </w:r>
      <w:proofErr w:type="gramStart"/>
      <w:r w:rsidRPr="006A1677">
        <w:rPr>
          <w:rFonts w:hint="eastAsia"/>
          <w:sz w:val="22"/>
        </w:rPr>
        <w:t>医</w:t>
      </w:r>
      <w:proofErr w:type="gramEnd"/>
      <w:r w:rsidRPr="006A1677">
        <w:rPr>
          <w:rFonts w:hint="eastAsia"/>
          <w:sz w:val="22"/>
        </w:rPr>
        <w:t>保机构需要发挥好</w:t>
      </w:r>
      <w:proofErr w:type="gramStart"/>
      <w:r w:rsidRPr="006A1677">
        <w:rPr>
          <w:rFonts w:hint="eastAsia"/>
          <w:sz w:val="22"/>
        </w:rPr>
        <w:t>医</w:t>
      </w:r>
      <w:proofErr w:type="gramEnd"/>
      <w:r w:rsidRPr="006A1677">
        <w:rPr>
          <w:rFonts w:hint="eastAsia"/>
          <w:sz w:val="22"/>
        </w:rPr>
        <w:t>保支付政策的杠杆作用，引导药品和耗材合理使用，促进医疗机构和从业医生规范其自身行为。下一步，将发挥好政策引导和监督作用，组织制定城乡统一的</w:t>
      </w:r>
      <w:proofErr w:type="gramStart"/>
      <w:r w:rsidRPr="006A1677">
        <w:rPr>
          <w:rFonts w:hint="eastAsia"/>
          <w:sz w:val="22"/>
        </w:rPr>
        <w:t>医</w:t>
      </w:r>
      <w:proofErr w:type="gramEnd"/>
      <w:r w:rsidRPr="006A1677">
        <w:rPr>
          <w:rFonts w:hint="eastAsia"/>
          <w:sz w:val="22"/>
        </w:rPr>
        <w:t>保目录和支付标准，制定相关收费政策，加强医疗服务行为监管。</w:t>
      </w:r>
    </w:p>
    <w:p w:rsidR="009829AD" w:rsidRDefault="009829AD" w:rsidP="006A1677">
      <w:pPr>
        <w:spacing w:line="360" w:lineRule="auto"/>
        <w:ind w:firstLineChars="200" w:firstLine="440"/>
        <w:rPr>
          <w:sz w:val="22"/>
        </w:rPr>
      </w:pPr>
      <w:r w:rsidRPr="006A1677">
        <w:rPr>
          <w:rFonts w:hint="eastAsia"/>
          <w:sz w:val="22"/>
        </w:rPr>
        <w:t>何维表示，公立医院综合改革要更好地服务于全面深化</w:t>
      </w:r>
      <w:proofErr w:type="gramStart"/>
      <w:r w:rsidRPr="006A1677">
        <w:rPr>
          <w:rFonts w:hint="eastAsia"/>
          <w:sz w:val="22"/>
        </w:rPr>
        <w:t>医</w:t>
      </w:r>
      <w:proofErr w:type="gramEnd"/>
      <w:r w:rsidRPr="006A1677">
        <w:rPr>
          <w:rFonts w:hint="eastAsia"/>
          <w:sz w:val="22"/>
        </w:rPr>
        <w:t>改和国家战略需求。公立医院运行机制要有效衔接和保障分级诊疗制度，体现中医药优势特色，促进优质医疗资源向基层、</w:t>
      </w:r>
      <w:proofErr w:type="gramStart"/>
      <w:r w:rsidRPr="006A1677">
        <w:rPr>
          <w:rFonts w:hint="eastAsia"/>
          <w:sz w:val="22"/>
        </w:rPr>
        <w:t>向疾病</w:t>
      </w:r>
      <w:proofErr w:type="gramEnd"/>
      <w:r w:rsidRPr="006A1677">
        <w:rPr>
          <w:rFonts w:hint="eastAsia"/>
          <w:sz w:val="22"/>
        </w:rPr>
        <w:t>预防和健康促进以及推动</w:t>
      </w:r>
      <w:proofErr w:type="gramStart"/>
      <w:r w:rsidRPr="006A1677">
        <w:rPr>
          <w:rFonts w:hint="eastAsia"/>
          <w:sz w:val="22"/>
        </w:rPr>
        <w:t>医</w:t>
      </w:r>
      <w:proofErr w:type="gramEnd"/>
      <w:r w:rsidRPr="006A1677">
        <w:rPr>
          <w:rFonts w:hint="eastAsia"/>
          <w:sz w:val="22"/>
        </w:rPr>
        <w:t>养结合的方向转移与聚集。</w:t>
      </w:r>
    </w:p>
    <w:p w:rsidR="006A1677" w:rsidRDefault="006A1677" w:rsidP="006A1677">
      <w:pPr>
        <w:spacing w:line="360" w:lineRule="auto"/>
        <w:ind w:firstLineChars="200" w:firstLine="440"/>
        <w:rPr>
          <w:sz w:val="22"/>
        </w:rPr>
      </w:pPr>
    </w:p>
    <w:p w:rsidR="006A1677" w:rsidRDefault="006A1677" w:rsidP="006A1677">
      <w:pPr>
        <w:spacing w:line="360" w:lineRule="auto"/>
        <w:ind w:firstLineChars="200" w:firstLine="440"/>
        <w:rPr>
          <w:rFonts w:hint="eastAsia"/>
          <w:sz w:val="22"/>
        </w:rPr>
      </w:pPr>
    </w:p>
    <w:p w:rsidR="00573AF0" w:rsidRDefault="008A0073" w:rsidP="00573AF0">
      <w:pPr>
        <w:pStyle w:val="1"/>
      </w:pPr>
      <w:bookmarkStart w:id="9" w:name="_Toc434501331"/>
      <w:bookmarkStart w:id="10" w:name="_Toc6476543"/>
      <w:bookmarkEnd w:id="5"/>
      <w:r>
        <w:rPr>
          <w:rFonts w:hint="eastAsia"/>
        </w:rPr>
        <w:lastRenderedPageBreak/>
        <w:t>·</w:t>
      </w:r>
      <w:r w:rsidR="00573AF0">
        <w:rPr>
          <w:rFonts w:hint="eastAsia"/>
        </w:rPr>
        <w:t>药</w:t>
      </w:r>
      <w:r w:rsidR="00BA321B">
        <w:rPr>
          <w:rFonts w:hint="eastAsia"/>
        </w:rPr>
        <w:t>学论</w:t>
      </w:r>
      <w:r w:rsidR="00573AF0">
        <w:rPr>
          <w:rFonts w:hint="eastAsia"/>
        </w:rPr>
        <w:t>坛</w:t>
      </w:r>
      <w:bookmarkEnd w:id="9"/>
      <w:r>
        <w:rPr>
          <w:rFonts w:hint="eastAsia"/>
        </w:rPr>
        <w:t>·</w:t>
      </w:r>
      <w:bookmarkEnd w:id="10"/>
    </w:p>
    <w:p w:rsidR="005B5FEC" w:rsidRDefault="005B5FEC" w:rsidP="005B5FEC">
      <w:pPr>
        <w:pStyle w:val="2"/>
      </w:pPr>
      <w:bookmarkStart w:id="11" w:name="_Toc6476544"/>
      <w:r>
        <w:rPr>
          <w:rFonts w:hint="eastAsia"/>
        </w:rPr>
        <w:t>对</w:t>
      </w:r>
      <w:r w:rsidRPr="00DE126F">
        <w:rPr>
          <w:rFonts w:hint="eastAsia"/>
        </w:rPr>
        <w:t>中药临床药学服务的探讨</w:t>
      </w:r>
      <w:r>
        <w:rPr>
          <w:rFonts w:hint="eastAsia"/>
        </w:rPr>
        <w:t>与分析</w:t>
      </w:r>
      <w:bookmarkEnd w:id="11"/>
    </w:p>
    <w:p w:rsidR="005B5FEC" w:rsidRPr="005F7627" w:rsidRDefault="005B5FEC" w:rsidP="005B5FEC">
      <w:pPr>
        <w:spacing w:line="360" w:lineRule="auto"/>
        <w:jc w:val="center"/>
        <w:rPr>
          <w:rFonts w:ascii="宋体" w:hAnsi="宋体"/>
          <w:sz w:val="24"/>
          <w:szCs w:val="24"/>
        </w:rPr>
      </w:pPr>
      <w:r>
        <w:rPr>
          <w:rFonts w:ascii="宋体" w:hAnsi="宋体" w:hint="eastAsia"/>
          <w:sz w:val="24"/>
          <w:szCs w:val="24"/>
        </w:rPr>
        <w:t xml:space="preserve">临床药学室 </w:t>
      </w:r>
      <w:r w:rsidRPr="005F7627">
        <w:rPr>
          <w:rFonts w:ascii="宋体" w:hAnsi="宋体" w:hint="eastAsia"/>
          <w:sz w:val="24"/>
          <w:szCs w:val="24"/>
        </w:rPr>
        <w:t>薛昀</w:t>
      </w:r>
    </w:p>
    <w:p w:rsidR="005B5FEC" w:rsidRPr="00FA166D" w:rsidRDefault="005B5FEC" w:rsidP="005B5FEC">
      <w:pPr>
        <w:spacing w:line="360" w:lineRule="auto"/>
        <w:rPr>
          <w:rFonts w:ascii="宋体" w:hAnsi="宋体"/>
        </w:rPr>
      </w:pPr>
      <w:r w:rsidRPr="005B5FEC">
        <w:rPr>
          <w:rFonts w:ascii="宋体" w:hAnsi="宋体" w:hint="eastAsia"/>
          <w:b/>
          <w:sz w:val="22"/>
          <w:szCs w:val="24"/>
        </w:rPr>
        <w:t>[</w:t>
      </w:r>
      <w:r w:rsidRPr="00FA166D">
        <w:rPr>
          <w:rFonts w:ascii="宋体" w:hAnsi="宋体" w:hint="eastAsia"/>
          <w:b/>
        </w:rPr>
        <w:t>摘要</w:t>
      </w:r>
      <w:r w:rsidRPr="00FA166D">
        <w:rPr>
          <w:rFonts w:ascii="宋体" w:hAnsi="宋体"/>
          <w:b/>
        </w:rPr>
        <w:t>]</w:t>
      </w:r>
      <w:r w:rsidRPr="00FA166D">
        <w:rPr>
          <w:rFonts w:ascii="宋体" w:hAnsi="宋体" w:hint="eastAsia"/>
        </w:rPr>
        <w:t>中药临床药学服务起步较晚，发展尚未完善，虽已获得一定成果，但就开展现状来看，仍存在许多不容忽视的问题，如知识结构缺乏合理性、自身定位不准确</w:t>
      </w:r>
      <w:r w:rsidRPr="00FA166D">
        <w:rPr>
          <w:rFonts w:ascii="宋体" w:hAnsi="宋体"/>
        </w:rPr>
        <w:t>等</w:t>
      </w:r>
      <w:r w:rsidRPr="00FA166D">
        <w:rPr>
          <w:rFonts w:ascii="宋体" w:hAnsi="宋体" w:hint="eastAsia"/>
        </w:rPr>
        <w:t>。本文在对中药临床药学工作的职责范围进行梳理的同时，针对现阶段存在的问题进行总结，主动探讨如何提升业务素质，注重临床实践工作，以加强中药临床药学服务的推广与进步。</w:t>
      </w:r>
    </w:p>
    <w:p w:rsidR="005B5FEC" w:rsidRPr="00FA166D" w:rsidRDefault="005B5FEC" w:rsidP="005B5FEC">
      <w:pPr>
        <w:spacing w:line="360" w:lineRule="auto"/>
        <w:rPr>
          <w:rFonts w:ascii="宋体" w:hAnsi="宋体"/>
        </w:rPr>
      </w:pPr>
      <w:r w:rsidRPr="00FA166D">
        <w:rPr>
          <w:rFonts w:ascii="宋体" w:hAnsi="宋体" w:hint="eastAsia"/>
          <w:b/>
        </w:rPr>
        <w:t>[关键词</w:t>
      </w:r>
      <w:r w:rsidRPr="00FA166D">
        <w:rPr>
          <w:rFonts w:ascii="宋体" w:hAnsi="宋体"/>
          <w:b/>
        </w:rPr>
        <w:t>]</w:t>
      </w:r>
      <w:r w:rsidRPr="00FA166D">
        <w:rPr>
          <w:rFonts w:ascii="宋体" w:hAnsi="宋体" w:hint="eastAsia"/>
        </w:rPr>
        <w:t>中药临床药学服务；职责范围；业务素质</w:t>
      </w:r>
    </w:p>
    <w:p w:rsidR="005B5FEC" w:rsidRDefault="005B5FEC" w:rsidP="005B5FEC">
      <w:pPr>
        <w:spacing w:line="360" w:lineRule="auto"/>
        <w:ind w:firstLineChars="200" w:firstLine="480"/>
        <w:jc w:val="left"/>
        <w:rPr>
          <w:rFonts w:ascii="宋体" w:hAnsi="宋体"/>
          <w:sz w:val="24"/>
          <w:szCs w:val="24"/>
        </w:rPr>
      </w:pPr>
      <w:r w:rsidRPr="00C1401E">
        <w:rPr>
          <w:rFonts w:ascii="宋体" w:hAnsi="宋体" w:hint="eastAsia"/>
          <w:sz w:val="24"/>
          <w:szCs w:val="24"/>
        </w:rPr>
        <w:t>近年来，</w:t>
      </w:r>
      <w:r w:rsidRPr="00DE126F">
        <w:rPr>
          <w:rFonts w:ascii="宋体" w:hAnsi="宋体" w:hint="eastAsia"/>
          <w:sz w:val="24"/>
          <w:szCs w:val="24"/>
        </w:rPr>
        <w:t>随着中医药在</w:t>
      </w:r>
      <w:r>
        <w:rPr>
          <w:rFonts w:ascii="宋体" w:hAnsi="宋体" w:hint="eastAsia"/>
          <w:sz w:val="24"/>
          <w:szCs w:val="24"/>
        </w:rPr>
        <w:t>临床</w:t>
      </w:r>
      <w:r w:rsidRPr="00DE126F">
        <w:rPr>
          <w:rFonts w:ascii="宋体" w:hAnsi="宋体" w:hint="eastAsia"/>
          <w:sz w:val="24"/>
          <w:szCs w:val="24"/>
        </w:rPr>
        <w:t>的推广</w:t>
      </w:r>
      <w:r>
        <w:rPr>
          <w:rFonts w:ascii="宋体" w:hAnsi="宋体" w:hint="eastAsia"/>
          <w:sz w:val="24"/>
          <w:szCs w:val="24"/>
        </w:rPr>
        <w:t>发展</w:t>
      </w:r>
      <w:r w:rsidRPr="00DE126F">
        <w:rPr>
          <w:rFonts w:ascii="宋体" w:hAnsi="宋体" w:hint="eastAsia"/>
          <w:sz w:val="24"/>
          <w:szCs w:val="24"/>
        </w:rPr>
        <w:t>，</w:t>
      </w:r>
      <w:r>
        <w:rPr>
          <w:rFonts w:ascii="宋体" w:hAnsi="宋体" w:hint="eastAsia"/>
          <w:sz w:val="24"/>
          <w:szCs w:val="24"/>
        </w:rPr>
        <w:t>中药的</w:t>
      </w:r>
      <w:r w:rsidRPr="00DE126F">
        <w:rPr>
          <w:rFonts w:ascii="宋体" w:hAnsi="宋体" w:hint="eastAsia"/>
          <w:sz w:val="24"/>
          <w:szCs w:val="24"/>
        </w:rPr>
        <w:t>不</w:t>
      </w:r>
      <w:r w:rsidRPr="00DE126F">
        <w:rPr>
          <w:rFonts w:ascii="宋体" w:hAnsi="宋体"/>
          <w:sz w:val="24"/>
          <w:szCs w:val="24"/>
        </w:rPr>
        <w:t>合理应用</w:t>
      </w:r>
      <w:r>
        <w:rPr>
          <w:rFonts w:ascii="宋体" w:hAnsi="宋体" w:hint="eastAsia"/>
          <w:sz w:val="24"/>
          <w:szCs w:val="24"/>
        </w:rPr>
        <w:t>呈日益增长趋势</w:t>
      </w:r>
      <w:r w:rsidRPr="00DE126F">
        <w:rPr>
          <w:rFonts w:ascii="宋体" w:hAnsi="宋体"/>
          <w:sz w:val="24"/>
          <w:szCs w:val="24"/>
        </w:rPr>
        <w:t>，</w:t>
      </w:r>
      <w:r>
        <w:rPr>
          <w:rFonts w:ascii="宋体" w:hAnsi="宋体" w:hint="eastAsia"/>
          <w:sz w:val="24"/>
          <w:szCs w:val="24"/>
        </w:rPr>
        <w:t>造成这种现象的最主要原因是临床医生不合理用药。如何加强中药临床用药的合理性、安全性、有效性，提高广大医务人员的合理用药意识，最大限度减少中药不良反应事件的发生，是中药临床药学服务的核心。国内中药临床药学服务质量的评价研究工作刚刚起步，开展中药临床药学服务质量的探讨分析具有重要的临床意义及价值，旨在为明确中药临床药师工作职责范围，改进与提高中药临床药师的服务质量，促进中药临床药学工作规范化、和谐化发展提供参考。</w:t>
      </w:r>
    </w:p>
    <w:p w:rsidR="005B5FEC" w:rsidRPr="002A07A8" w:rsidRDefault="005B5FEC" w:rsidP="005B5FEC">
      <w:pPr>
        <w:pStyle w:val="3"/>
        <w:ind w:firstLine="422"/>
      </w:pPr>
      <w:r>
        <w:rPr>
          <w:rFonts w:hint="eastAsia"/>
        </w:rPr>
        <w:t xml:space="preserve">1 </w:t>
      </w:r>
      <w:r>
        <w:rPr>
          <w:rFonts w:hint="eastAsia"/>
        </w:rPr>
        <w:t>关于</w:t>
      </w:r>
      <w:r w:rsidRPr="002A07A8">
        <w:rPr>
          <w:rFonts w:hint="eastAsia"/>
        </w:rPr>
        <w:t>中药临床药学</w:t>
      </w:r>
      <w:r>
        <w:rPr>
          <w:rFonts w:hint="eastAsia"/>
        </w:rPr>
        <w:t>工作开展的</w:t>
      </w:r>
      <w:r w:rsidRPr="002A07A8">
        <w:rPr>
          <w:rFonts w:hint="eastAsia"/>
        </w:rPr>
        <w:t>必要性</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随着人们对中医药特色和优势的广泛认识，</w:t>
      </w:r>
      <w:r w:rsidRPr="00AD3EAA">
        <w:rPr>
          <w:rFonts w:ascii="宋体" w:hAnsi="宋体" w:hint="eastAsia"/>
          <w:sz w:val="24"/>
          <w:szCs w:val="24"/>
        </w:rPr>
        <w:t>临床中药应用日益</w:t>
      </w:r>
      <w:r>
        <w:rPr>
          <w:rFonts w:ascii="宋体" w:hAnsi="宋体" w:hint="eastAsia"/>
          <w:sz w:val="24"/>
          <w:szCs w:val="24"/>
        </w:rPr>
        <w:t>普及</w:t>
      </w:r>
      <w:r w:rsidRPr="00AD3EAA">
        <w:rPr>
          <w:rFonts w:ascii="宋体" w:hAnsi="宋体" w:hint="eastAsia"/>
          <w:sz w:val="24"/>
          <w:szCs w:val="24"/>
        </w:rPr>
        <w:t>，但调查</w:t>
      </w:r>
      <w:r>
        <w:rPr>
          <w:rFonts w:ascii="宋体" w:hAnsi="宋体" w:hint="eastAsia"/>
          <w:sz w:val="24"/>
          <w:szCs w:val="24"/>
        </w:rPr>
        <w:t>研究</w:t>
      </w:r>
      <w:r w:rsidRPr="00AD3EAA">
        <w:rPr>
          <w:rFonts w:ascii="宋体" w:hAnsi="宋体" w:hint="eastAsia"/>
          <w:sz w:val="24"/>
          <w:szCs w:val="24"/>
        </w:rPr>
        <w:t>发现处方大多由西医医师开具。中药的</w:t>
      </w:r>
      <w:r>
        <w:rPr>
          <w:rFonts w:ascii="宋体" w:hAnsi="宋体" w:hint="eastAsia"/>
          <w:sz w:val="24"/>
          <w:szCs w:val="24"/>
        </w:rPr>
        <w:t>临床合理应用应做到辨病用药、辨证用药、辨病与辨证结合用药，而西医医师由于未系统接受中医学、中药学相关教育，缺乏相应的中医药知识理论，易造成中药的超剂量、超疗程、误用、滥用等问题，导致药疗事故、</w:t>
      </w:r>
      <w:proofErr w:type="gramStart"/>
      <w:r>
        <w:rPr>
          <w:rFonts w:ascii="宋体" w:hAnsi="宋体" w:hint="eastAsia"/>
          <w:sz w:val="24"/>
          <w:szCs w:val="24"/>
        </w:rPr>
        <w:t>医</w:t>
      </w:r>
      <w:proofErr w:type="gramEnd"/>
      <w:r>
        <w:rPr>
          <w:rFonts w:ascii="宋体" w:hAnsi="宋体" w:hint="eastAsia"/>
          <w:sz w:val="24"/>
          <w:szCs w:val="24"/>
        </w:rPr>
        <w:t>患矛盾发生率增高。因此，迫切需要</w:t>
      </w:r>
      <w:r w:rsidRPr="00407295">
        <w:rPr>
          <w:rFonts w:ascii="宋体" w:hAnsi="宋体"/>
          <w:sz w:val="24"/>
          <w:szCs w:val="24"/>
        </w:rPr>
        <w:t>培养</w:t>
      </w:r>
      <w:r>
        <w:rPr>
          <w:rFonts w:ascii="宋体" w:hAnsi="宋体" w:hint="eastAsia"/>
          <w:sz w:val="24"/>
          <w:szCs w:val="24"/>
        </w:rPr>
        <w:t>具备</w:t>
      </w:r>
      <w:r w:rsidRPr="00407295">
        <w:rPr>
          <w:rFonts w:ascii="宋体" w:hAnsi="宋体"/>
          <w:sz w:val="24"/>
          <w:szCs w:val="24"/>
        </w:rPr>
        <w:t>扎实中医药专业</w:t>
      </w:r>
      <w:r>
        <w:rPr>
          <w:rFonts w:ascii="宋体" w:hAnsi="宋体" w:hint="eastAsia"/>
          <w:sz w:val="24"/>
          <w:szCs w:val="24"/>
        </w:rPr>
        <w:t>基础知识、</w:t>
      </w:r>
      <w:r w:rsidRPr="00407295">
        <w:rPr>
          <w:rFonts w:ascii="宋体" w:hAnsi="宋体"/>
          <w:sz w:val="24"/>
          <w:szCs w:val="24"/>
        </w:rPr>
        <w:t>临床实践用药经验的</w:t>
      </w:r>
      <w:r>
        <w:rPr>
          <w:rFonts w:ascii="宋体" w:hAnsi="宋体" w:hint="eastAsia"/>
          <w:sz w:val="24"/>
          <w:szCs w:val="24"/>
        </w:rPr>
        <w:t>中药临床药师</w:t>
      </w:r>
      <w:r w:rsidRPr="00407295">
        <w:rPr>
          <w:rFonts w:ascii="宋体" w:hAnsi="宋体"/>
          <w:sz w:val="24"/>
          <w:szCs w:val="24"/>
        </w:rPr>
        <w:t>，</w:t>
      </w:r>
      <w:r>
        <w:rPr>
          <w:rFonts w:ascii="宋体" w:hAnsi="宋体" w:hint="eastAsia"/>
          <w:sz w:val="24"/>
          <w:szCs w:val="24"/>
        </w:rPr>
        <w:t>来</w:t>
      </w:r>
      <w:r w:rsidRPr="00407295">
        <w:rPr>
          <w:rFonts w:ascii="宋体" w:hAnsi="宋体"/>
          <w:sz w:val="24"/>
          <w:szCs w:val="24"/>
        </w:rPr>
        <w:t>协助临床医师</w:t>
      </w:r>
      <w:r>
        <w:rPr>
          <w:rFonts w:ascii="宋体" w:hAnsi="宋体" w:hint="eastAsia"/>
          <w:sz w:val="24"/>
          <w:szCs w:val="24"/>
        </w:rPr>
        <w:t>全面了解</w:t>
      </w:r>
      <w:r w:rsidRPr="00407295">
        <w:rPr>
          <w:rFonts w:ascii="宋体" w:hAnsi="宋体"/>
          <w:sz w:val="24"/>
          <w:szCs w:val="24"/>
        </w:rPr>
        <w:lastRenderedPageBreak/>
        <w:t>中药知识，</w:t>
      </w:r>
      <w:r>
        <w:rPr>
          <w:rFonts w:ascii="宋体" w:hAnsi="宋体" w:hint="eastAsia"/>
          <w:sz w:val="24"/>
          <w:szCs w:val="24"/>
        </w:rPr>
        <w:t>使其能够准确</w:t>
      </w:r>
      <w:r w:rsidRPr="00407295">
        <w:rPr>
          <w:rFonts w:ascii="宋体" w:hAnsi="宋体" w:hint="eastAsia"/>
          <w:sz w:val="24"/>
          <w:szCs w:val="24"/>
        </w:rPr>
        <w:t>、合理地</w:t>
      </w:r>
      <w:r w:rsidRPr="00407295">
        <w:rPr>
          <w:rFonts w:ascii="宋体" w:hAnsi="宋体"/>
          <w:sz w:val="24"/>
          <w:szCs w:val="24"/>
        </w:rPr>
        <w:t>使用中药。</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目前，我国的中药临床药学工作仍处于探索阶段，大部分药师参与临床的掣肘是</w:t>
      </w:r>
      <w:r w:rsidRPr="00593034">
        <w:rPr>
          <w:rFonts w:ascii="宋体" w:hAnsi="宋体" w:hint="eastAsia"/>
          <w:sz w:val="24"/>
          <w:szCs w:val="24"/>
        </w:rPr>
        <w:t>临床医学相关专业</w:t>
      </w:r>
      <w:r w:rsidRPr="00593034">
        <w:rPr>
          <w:rFonts w:ascii="宋体" w:hAnsi="宋体"/>
          <w:sz w:val="24"/>
          <w:szCs w:val="24"/>
        </w:rPr>
        <w:t>知识水平较低，药学</w:t>
      </w:r>
      <w:r>
        <w:rPr>
          <w:rFonts w:ascii="宋体" w:hAnsi="宋体" w:hint="eastAsia"/>
          <w:sz w:val="24"/>
          <w:szCs w:val="24"/>
        </w:rPr>
        <w:t>相关</w:t>
      </w:r>
      <w:r w:rsidRPr="00593034">
        <w:rPr>
          <w:rFonts w:ascii="宋体" w:hAnsi="宋体"/>
          <w:sz w:val="24"/>
          <w:szCs w:val="24"/>
        </w:rPr>
        <w:t>知识也仅停留于理论，</w:t>
      </w:r>
      <w:r>
        <w:rPr>
          <w:rFonts w:ascii="宋体" w:hAnsi="宋体" w:hint="eastAsia"/>
          <w:sz w:val="24"/>
          <w:szCs w:val="24"/>
        </w:rPr>
        <w:t>且缺乏</w:t>
      </w:r>
      <w:r w:rsidRPr="00593034">
        <w:rPr>
          <w:rFonts w:ascii="宋体" w:hAnsi="宋体"/>
          <w:sz w:val="24"/>
          <w:szCs w:val="24"/>
        </w:rPr>
        <w:t>药物应用的</w:t>
      </w:r>
      <w:r>
        <w:rPr>
          <w:rFonts w:ascii="宋体" w:hAnsi="宋体" w:hint="eastAsia"/>
          <w:sz w:val="24"/>
          <w:szCs w:val="24"/>
        </w:rPr>
        <w:t>临床</w:t>
      </w:r>
      <w:r w:rsidRPr="00593034">
        <w:rPr>
          <w:rFonts w:ascii="宋体" w:hAnsi="宋体"/>
          <w:sz w:val="24"/>
          <w:szCs w:val="24"/>
        </w:rPr>
        <w:t>实践经验，难以找到开展</w:t>
      </w:r>
      <w:r>
        <w:rPr>
          <w:rFonts w:ascii="宋体" w:hAnsi="宋体" w:hint="eastAsia"/>
          <w:sz w:val="24"/>
          <w:szCs w:val="24"/>
        </w:rPr>
        <w:t>中药</w:t>
      </w:r>
      <w:r w:rsidRPr="00593034">
        <w:rPr>
          <w:rFonts w:ascii="宋体" w:hAnsi="宋体"/>
          <w:sz w:val="24"/>
          <w:szCs w:val="24"/>
        </w:rPr>
        <w:t>临床药学工作的切入点</w:t>
      </w:r>
      <w:r>
        <w:rPr>
          <w:rFonts w:ascii="宋体" w:hAnsi="宋体" w:hint="eastAsia"/>
          <w:sz w:val="24"/>
          <w:szCs w:val="24"/>
        </w:rPr>
        <w:t>。</w:t>
      </w:r>
      <w:r w:rsidRPr="00AE42CF">
        <w:rPr>
          <w:rFonts w:ascii="宋体" w:hAnsi="宋体" w:hint="eastAsia"/>
          <w:sz w:val="24"/>
          <w:szCs w:val="24"/>
        </w:rPr>
        <w:t>因此，中药临床药学</w:t>
      </w:r>
      <w:r>
        <w:rPr>
          <w:rFonts w:ascii="宋体" w:hAnsi="宋体" w:hint="eastAsia"/>
          <w:sz w:val="24"/>
          <w:szCs w:val="24"/>
        </w:rPr>
        <w:t>工作</w:t>
      </w:r>
      <w:r w:rsidRPr="00AE42CF">
        <w:rPr>
          <w:rFonts w:ascii="宋体" w:hAnsi="宋体" w:hint="eastAsia"/>
          <w:sz w:val="24"/>
          <w:szCs w:val="24"/>
        </w:rPr>
        <w:t>要求中药师</w:t>
      </w:r>
      <w:r w:rsidRPr="00AE42CF">
        <w:rPr>
          <w:rFonts w:ascii="宋体" w:hAnsi="宋体"/>
          <w:sz w:val="24"/>
          <w:szCs w:val="24"/>
        </w:rPr>
        <w:t>与医师</w:t>
      </w:r>
      <w:r>
        <w:rPr>
          <w:rFonts w:ascii="宋体" w:hAnsi="宋体" w:hint="eastAsia"/>
          <w:sz w:val="24"/>
          <w:szCs w:val="24"/>
        </w:rPr>
        <w:t>一起直接参与日常性医疗的</w:t>
      </w:r>
      <w:r w:rsidRPr="00AE42CF">
        <w:rPr>
          <w:rFonts w:ascii="宋体" w:hAnsi="宋体"/>
          <w:sz w:val="24"/>
          <w:szCs w:val="24"/>
        </w:rPr>
        <w:t>患者用药，</w:t>
      </w:r>
      <w:r>
        <w:rPr>
          <w:rFonts w:ascii="宋体" w:hAnsi="宋体" w:hint="eastAsia"/>
          <w:sz w:val="24"/>
          <w:szCs w:val="24"/>
        </w:rPr>
        <w:t>以</w:t>
      </w:r>
      <w:r w:rsidRPr="00AE42CF">
        <w:rPr>
          <w:rFonts w:ascii="宋体" w:hAnsi="宋体"/>
          <w:sz w:val="24"/>
          <w:szCs w:val="24"/>
        </w:rPr>
        <w:t>提高患者生存质量</w:t>
      </w:r>
      <w:r>
        <w:rPr>
          <w:rFonts w:ascii="宋体" w:hAnsi="宋体" w:hint="eastAsia"/>
          <w:sz w:val="24"/>
          <w:szCs w:val="24"/>
        </w:rPr>
        <w:t>为目标</w:t>
      </w:r>
      <w:r w:rsidRPr="00AE42CF">
        <w:rPr>
          <w:rFonts w:ascii="宋体" w:hAnsi="宋体"/>
          <w:sz w:val="24"/>
          <w:szCs w:val="24"/>
        </w:rPr>
        <w:t>，</w:t>
      </w:r>
      <w:r>
        <w:rPr>
          <w:rFonts w:ascii="宋体" w:hAnsi="宋体" w:hint="eastAsia"/>
          <w:sz w:val="24"/>
          <w:szCs w:val="24"/>
        </w:rPr>
        <w:t>规范指导合理用药，消除患者的用药疑虑，提高患者的用药依从性，</w:t>
      </w:r>
      <w:r w:rsidRPr="00AE42CF">
        <w:rPr>
          <w:rFonts w:ascii="宋体" w:hAnsi="宋体"/>
          <w:sz w:val="24"/>
          <w:szCs w:val="24"/>
        </w:rPr>
        <w:t>使患者</w:t>
      </w:r>
      <w:r>
        <w:rPr>
          <w:rFonts w:ascii="宋体" w:hAnsi="宋体" w:hint="eastAsia"/>
          <w:sz w:val="24"/>
          <w:szCs w:val="24"/>
        </w:rPr>
        <w:t>能够</w:t>
      </w:r>
      <w:r w:rsidRPr="00AE42CF">
        <w:rPr>
          <w:rFonts w:ascii="宋体" w:hAnsi="宋体"/>
          <w:sz w:val="24"/>
          <w:szCs w:val="24"/>
        </w:rPr>
        <w:t>得到精准的药物治疗。</w:t>
      </w:r>
    </w:p>
    <w:p w:rsidR="005B5FEC" w:rsidRPr="00AD3EAA" w:rsidRDefault="005B5FEC" w:rsidP="005B5FEC">
      <w:pPr>
        <w:pStyle w:val="3"/>
        <w:ind w:firstLine="422"/>
      </w:pPr>
      <w:r w:rsidRPr="002A07A8">
        <w:rPr>
          <w:rFonts w:cs="Times New Roman"/>
        </w:rPr>
        <w:t>2</w:t>
      </w:r>
      <w:r>
        <w:t xml:space="preserve"> </w:t>
      </w:r>
      <w:r>
        <w:rPr>
          <w:rFonts w:hint="eastAsia"/>
        </w:rPr>
        <w:t>中药临床药学的工作职责范围</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2.1</w:t>
      </w:r>
      <w:r>
        <w:rPr>
          <w:rFonts w:ascii="宋体" w:hAnsi="宋体"/>
          <w:sz w:val="24"/>
          <w:szCs w:val="24"/>
        </w:rPr>
        <w:t xml:space="preserve"> </w:t>
      </w:r>
      <w:r>
        <w:rPr>
          <w:rFonts w:ascii="宋体" w:hAnsi="宋体" w:hint="eastAsia"/>
          <w:sz w:val="24"/>
          <w:szCs w:val="24"/>
        </w:rPr>
        <w:t>审核医嘱，协助制定合理的药物治疗方案</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查阅</w:t>
      </w:r>
      <w:r w:rsidRPr="004B13D5">
        <w:rPr>
          <w:rFonts w:ascii="宋体" w:hAnsi="宋体" w:hint="eastAsia"/>
          <w:sz w:val="24"/>
          <w:szCs w:val="24"/>
        </w:rPr>
        <w:t>病历</w:t>
      </w:r>
      <w:r>
        <w:rPr>
          <w:rFonts w:ascii="宋体" w:hAnsi="宋体" w:hint="eastAsia"/>
          <w:sz w:val="24"/>
          <w:szCs w:val="24"/>
        </w:rPr>
        <w:t>、</w:t>
      </w:r>
      <w:r w:rsidRPr="004B13D5">
        <w:rPr>
          <w:rFonts w:ascii="宋体" w:hAnsi="宋体" w:hint="eastAsia"/>
          <w:sz w:val="24"/>
          <w:szCs w:val="24"/>
        </w:rPr>
        <w:t>审核医嘱是</w:t>
      </w:r>
      <w:r>
        <w:rPr>
          <w:rFonts w:ascii="宋体" w:hAnsi="宋体" w:hint="eastAsia"/>
          <w:sz w:val="24"/>
          <w:szCs w:val="24"/>
        </w:rPr>
        <w:t>中药临床</w:t>
      </w:r>
      <w:r w:rsidRPr="004B13D5">
        <w:rPr>
          <w:rFonts w:ascii="宋体" w:hAnsi="宋体" w:hint="eastAsia"/>
          <w:sz w:val="24"/>
          <w:szCs w:val="24"/>
        </w:rPr>
        <w:t>药师参与临床查房</w:t>
      </w:r>
      <w:r>
        <w:rPr>
          <w:rFonts w:ascii="宋体" w:hAnsi="宋体" w:hint="eastAsia"/>
          <w:sz w:val="24"/>
          <w:szCs w:val="24"/>
        </w:rPr>
        <w:t>、开展药学查房</w:t>
      </w:r>
      <w:r w:rsidRPr="004B13D5">
        <w:rPr>
          <w:rFonts w:ascii="宋体" w:hAnsi="宋体" w:hint="eastAsia"/>
          <w:sz w:val="24"/>
          <w:szCs w:val="24"/>
        </w:rPr>
        <w:t>前</w:t>
      </w:r>
      <w:r w:rsidRPr="004B13D5">
        <w:rPr>
          <w:rFonts w:ascii="宋体" w:hAnsi="宋体"/>
          <w:sz w:val="24"/>
          <w:szCs w:val="24"/>
        </w:rPr>
        <w:t>需要完成的工作</w:t>
      </w:r>
      <w:r>
        <w:rPr>
          <w:rFonts w:ascii="宋体" w:hAnsi="宋体" w:hint="eastAsia"/>
          <w:sz w:val="24"/>
          <w:szCs w:val="24"/>
        </w:rPr>
        <w:t>。</w:t>
      </w:r>
      <w:r w:rsidRPr="004441A2">
        <w:rPr>
          <w:rFonts w:ascii="宋体" w:hAnsi="宋体" w:hint="eastAsia"/>
          <w:sz w:val="24"/>
          <w:szCs w:val="24"/>
        </w:rPr>
        <w:t>作为</w:t>
      </w:r>
      <w:r>
        <w:rPr>
          <w:rFonts w:ascii="宋体" w:hAnsi="宋体" w:hint="eastAsia"/>
          <w:sz w:val="24"/>
          <w:szCs w:val="24"/>
        </w:rPr>
        <w:t>一名合格的中药临床</w:t>
      </w:r>
      <w:r w:rsidRPr="004441A2">
        <w:rPr>
          <w:rFonts w:ascii="宋体" w:hAnsi="宋体" w:hint="eastAsia"/>
          <w:sz w:val="24"/>
          <w:szCs w:val="24"/>
        </w:rPr>
        <w:t>药师，病历</w:t>
      </w:r>
      <w:r>
        <w:rPr>
          <w:rFonts w:ascii="宋体" w:hAnsi="宋体" w:hint="eastAsia"/>
          <w:sz w:val="24"/>
          <w:szCs w:val="24"/>
        </w:rPr>
        <w:t>查阅</w:t>
      </w:r>
      <w:r w:rsidRPr="004441A2">
        <w:rPr>
          <w:rFonts w:ascii="宋体" w:hAnsi="宋体" w:hint="eastAsia"/>
          <w:sz w:val="24"/>
          <w:szCs w:val="24"/>
        </w:rPr>
        <w:t>时的侧重点在于患者既往</w:t>
      </w:r>
      <w:r w:rsidRPr="004441A2">
        <w:rPr>
          <w:rFonts w:ascii="宋体" w:hAnsi="宋体"/>
          <w:sz w:val="24"/>
          <w:szCs w:val="24"/>
        </w:rPr>
        <w:t>用药史</w:t>
      </w:r>
      <w:r>
        <w:rPr>
          <w:rFonts w:ascii="宋体" w:hAnsi="宋体" w:hint="eastAsia"/>
          <w:sz w:val="24"/>
          <w:szCs w:val="24"/>
        </w:rPr>
        <w:t>（既往用</w:t>
      </w:r>
      <w:r w:rsidRPr="004441A2">
        <w:rPr>
          <w:rFonts w:ascii="宋体" w:hAnsi="宋体"/>
          <w:sz w:val="24"/>
          <w:szCs w:val="24"/>
        </w:rPr>
        <w:t>药</w:t>
      </w:r>
      <w:r>
        <w:rPr>
          <w:rFonts w:ascii="宋体" w:hAnsi="宋体" w:hint="eastAsia"/>
          <w:sz w:val="24"/>
          <w:szCs w:val="24"/>
        </w:rPr>
        <w:t>的</w:t>
      </w:r>
      <w:r w:rsidRPr="004441A2">
        <w:rPr>
          <w:rFonts w:ascii="宋体" w:hAnsi="宋体"/>
          <w:sz w:val="24"/>
          <w:szCs w:val="24"/>
        </w:rPr>
        <w:t>品种、剂量、服</w:t>
      </w:r>
      <w:r>
        <w:rPr>
          <w:rFonts w:ascii="宋体" w:hAnsi="宋体" w:hint="eastAsia"/>
          <w:sz w:val="24"/>
          <w:szCs w:val="24"/>
        </w:rPr>
        <w:t>药</w:t>
      </w:r>
      <w:r w:rsidRPr="004441A2">
        <w:rPr>
          <w:rFonts w:ascii="宋体" w:hAnsi="宋体"/>
          <w:sz w:val="24"/>
          <w:szCs w:val="24"/>
        </w:rPr>
        <w:t>时间及服药方法</w:t>
      </w:r>
      <w:r>
        <w:rPr>
          <w:rFonts w:ascii="宋体" w:hAnsi="宋体" w:hint="eastAsia"/>
          <w:sz w:val="24"/>
          <w:szCs w:val="24"/>
        </w:rPr>
        <w:t>、不良反应）；</w:t>
      </w:r>
      <w:r w:rsidRPr="004441A2">
        <w:rPr>
          <w:rFonts w:ascii="宋体" w:hAnsi="宋体"/>
          <w:sz w:val="24"/>
          <w:szCs w:val="24"/>
        </w:rPr>
        <w:t>医嘱审核</w:t>
      </w:r>
      <w:r>
        <w:rPr>
          <w:rFonts w:ascii="宋体" w:hAnsi="宋体" w:hint="eastAsia"/>
          <w:sz w:val="24"/>
          <w:szCs w:val="24"/>
        </w:rPr>
        <w:t>时</w:t>
      </w:r>
      <w:r w:rsidRPr="004441A2">
        <w:rPr>
          <w:rFonts w:ascii="宋体" w:hAnsi="宋体"/>
          <w:sz w:val="24"/>
          <w:szCs w:val="24"/>
        </w:rPr>
        <w:t>的</w:t>
      </w:r>
      <w:r>
        <w:rPr>
          <w:rFonts w:ascii="宋体" w:hAnsi="宋体" w:hint="eastAsia"/>
          <w:sz w:val="24"/>
          <w:szCs w:val="24"/>
        </w:rPr>
        <w:t>侧</w:t>
      </w:r>
      <w:r w:rsidRPr="004441A2">
        <w:rPr>
          <w:rFonts w:ascii="宋体" w:hAnsi="宋体"/>
          <w:sz w:val="24"/>
          <w:szCs w:val="24"/>
        </w:rPr>
        <w:t>重点</w:t>
      </w:r>
      <w:r>
        <w:rPr>
          <w:rFonts w:ascii="宋体" w:hAnsi="宋体" w:hint="eastAsia"/>
          <w:sz w:val="24"/>
          <w:szCs w:val="24"/>
        </w:rPr>
        <w:t>则</w:t>
      </w:r>
      <w:r w:rsidRPr="004441A2">
        <w:rPr>
          <w:rFonts w:ascii="宋体" w:hAnsi="宋体"/>
          <w:sz w:val="24"/>
          <w:szCs w:val="24"/>
        </w:rPr>
        <w:t>在于</w:t>
      </w:r>
      <w:r>
        <w:rPr>
          <w:rFonts w:ascii="宋体" w:hAnsi="宋体" w:hint="eastAsia"/>
          <w:sz w:val="24"/>
          <w:szCs w:val="24"/>
        </w:rPr>
        <w:t>药物</w:t>
      </w:r>
      <w:r w:rsidRPr="004441A2">
        <w:rPr>
          <w:rFonts w:ascii="宋体" w:hAnsi="宋体"/>
          <w:sz w:val="24"/>
          <w:szCs w:val="24"/>
        </w:rPr>
        <w:t>选择</w:t>
      </w:r>
      <w:r>
        <w:rPr>
          <w:rFonts w:ascii="宋体" w:hAnsi="宋体" w:hint="eastAsia"/>
          <w:sz w:val="24"/>
          <w:szCs w:val="24"/>
        </w:rPr>
        <w:t>的合理性、</w:t>
      </w:r>
      <w:r w:rsidRPr="004441A2">
        <w:rPr>
          <w:rFonts w:ascii="宋体" w:hAnsi="宋体"/>
          <w:sz w:val="24"/>
          <w:szCs w:val="24"/>
        </w:rPr>
        <w:t>配伍禁忌</w:t>
      </w:r>
      <w:r>
        <w:rPr>
          <w:rFonts w:ascii="宋体" w:hAnsi="宋体" w:hint="eastAsia"/>
          <w:sz w:val="24"/>
          <w:szCs w:val="24"/>
        </w:rPr>
        <w:t>和相互作用</w:t>
      </w:r>
      <w:r w:rsidRPr="004441A2">
        <w:rPr>
          <w:rFonts w:ascii="宋体" w:hAnsi="宋体"/>
          <w:sz w:val="24"/>
          <w:szCs w:val="24"/>
        </w:rPr>
        <w:t>等。</w:t>
      </w:r>
      <w:r>
        <w:rPr>
          <w:rFonts w:ascii="宋体" w:hAnsi="宋体" w:hint="eastAsia"/>
          <w:sz w:val="24"/>
          <w:szCs w:val="24"/>
        </w:rPr>
        <w:t>这就要求中药临床药师具备合理的临床知识结构，提供药学服务时能够了解药物作用的临床意义，将药学知识与医学知识紧密结合，促进、优化药物治疗。</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2.2</w:t>
      </w:r>
      <w:r>
        <w:rPr>
          <w:rFonts w:ascii="宋体" w:hAnsi="宋体"/>
          <w:sz w:val="24"/>
          <w:szCs w:val="24"/>
        </w:rPr>
        <w:t xml:space="preserve"> </w:t>
      </w:r>
      <w:r>
        <w:rPr>
          <w:rFonts w:ascii="宋体" w:hAnsi="宋体" w:hint="eastAsia"/>
          <w:sz w:val="24"/>
          <w:szCs w:val="24"/>
        </w:rPr>
        <w:t>逐步建立中药应用评价体系</w:t>
      </w:r>
    </w:p>
    <w:p w:rsidR="005B5FEC" w:rsidRDefault="005B5FEC" w:rsidP="005B5FEC">
      <w:pPr>
        <w:spacing w:line="360" w:lineRule="auto"/>
        <w:ind w:firstLineChars="200" w:firstLine="480"/>
        <w:jc w:val="left"/>
        <w:rPr>
          <w:rFonts w:ascii="宋体" w:hAnsi="宋体"/>
          <w:sz w:val="24"/>
          <w:szCs w:val="24"/>
        </w:rPr>
      </w:pPr>
      <w:r w:rsidRPr="00452551">
        <w:rPr>
          <w:rFonts w:ascii="宋体" w:hAnsi="宋体" w:hint="eastAsia"/>
          <w:sz w:val="24"/>
          <w:szCs w:val="24"/>
        </w:rPr>
        <w:t>任何工作的改进和发展都</w:t>
      </w:r>
      <w:r>
        <w:rPr>
          <w:rFonts w:ascii="宋体" w:hAnsi="宋体" w:hint="eastAsia"/>
          <w:sz w:val="24"/>
          <w:szCs w:val="24"/>
        </w:rPr>
        <w:t>需要建立</w:t>
      </w:r>
      <w:r w:rsidRPr="00452551">
        <w:rPr>
          <w:rFonts w:ascii="宋体" w:hAnsi="宋体" w:hint="eastAsia"/>
          <w:sz w:val="24"/>
          <w:szCs w:val="24"/>
        </w:rPr>
        <w:t>其相</w:t>
      </w:r>
      <w:r w:rsidRPr="00452551">
        <w:rPr>
          <w:rFonts w:ascii="宋体" w:hAnsi="宋体"/>
          <w:sz w:val="24"/>
          <w:szCs w:val="24"/>
        </w:rPr>
        <w:t>应</w:t>
      </w:r>
      <w:r>
        <w:rPr>
          <w:rFonts w:ascii="宋体" w:hAnsi="宋体" w:hint="eastAsia"/>
          <w:sz w:val="24"/>
          <w:szCs w:val="24"/>
        </w:rPr>
        <w:t>的</w:t>
      </w:r>
      <w:r w:rsidRPr="00452551">
        <w:rPr>
          <w:rFonts w:ascii="宋体" w:hAnsi="宋体"/>
          <w:sz w:val="24"/>
          <w:szCs w:val="24"/>
        </w:rPr>
        <w:t>合理评价体系</w:t>
      </w:r>
      <w:r>
        <w:rPr>
          <w:rFonts w:ascii="宋体" w:hAnsi="宋体" w:hint="eastAsia"/>
          <w:sz w:val="24"/>
          <w:szCs w:val="24"/>
        </w:rPr>
        <w:t>。中药</w:t>
      </w:r>
      <w:r w:rsidRPr="00B326C1">
        <w:rPr>
          <w:rFonts w:ascii="宋体" w:hAnsi="宋体" w:hint="eastAsia"/>
          <w:sz w:val="24"/>
          <w:szCs w:val="24"/>
        </w:rPr>
        <w:t>处方点评作为</w:t>
      </w:r>
      <w:r>
        <w:rPr>
          <w:rFonts w:ascii="宋体" w:hAnsi="宋体" w:hint="eastAsia"/>
          <w:sz w:val="24"/>
          <w:szCs w:val="24"/>
        </w:rPr>
        <w:t>解决</w:t>
      </w:r>
      <w:r w:rsidRPr="00B326C1">
        <w:rPr>
          <w:rFonts w:ascii="宋体" w:hAnsi="宋体" w:hint="eastAsia"/>
          <w:sz w:val="24"/>
          <w:szCs w:val="24"/>
        </w:rPr>
        <w:t>不合理用药</w:t>
      </w:r>
      <w:r>
        <w:rPr>
          <w:rFonts w:ascii="宋体" w:hAnsi="宋体" w:hint="eastAsia"/>
          <w:sz w:val="24"/>
          <w:szCs w:val="24"/>
        </w:rPr>
        <w:t>的重要决策</w:t>
      </w:r>
      <w:r w:rsidRPr="00B326C1">
        <w:rPr>
          <w:rFonts w:ascii="宋体" w:hAnsi="宋体"/>
          <w:sz w:val="24"/>
          <w:szCs w:val="24"/>
        </w:rPr>
        <w:t>，</w:t>
      </w:r>
      <w:r w:rsidRPr="00B326C1">
        <w:rPr>
          <w:rFonts w:ascii="宋体" w:hAnsi="宋体" w:hint="eastAsia"/>
          <w:sz w:val="24"/>
          <w:szCs w:val="24"/>
        </w:rPr>
        <w:t>如何</w:t>
      </w:r>
      <w:r>
        <w:rPr>
          <w:rFonts w:ascii="宋体" w:hAnsi="宋体" w:hint="eastAsia"/>
          <w:sz w:val="24"/>
          <w:szCs w:val="24"/>
        </w:rPr>
        <w:t>健康、有效地</w:t>
      </w:r>
      <w:r w:rsidRPr="00B326C1">
        <w:rPr>
          <w:rFonts w:ascii="宋体" w:hAnsi="宋体" w:hint="eastAsia"/>
          <w:sz w:val="24"/>
          <w:szCs w:val="24"/>
        </w:rPr>
        <w:t>开展</w:t>
      </w:r>
      <w:r w:rsidRPr="00B326C1">
        <w:rPr>
          <w:rFonts w:ascii="宋体" w:hAnsi="宋体"/>
          <w:sz w:val="24"/>
          <w:szCs w:val="24"/>
        </w:rPr>
        <w:t>一直是困扰</w:t>
      </w:r>
      <w:r>
        <w:rPr>
          <w:rFonts w:ascii="宋体" w:hAnsi="宋体" w:hint="eastAsia"/>
          <w:sz w:val="24"/>
          <w:szCs w:val="24"/>
        </w:rPr>
        <w:t>中药</w:t>
      </w:r>
      <w:r w:rsidRPr="00B326C1">
        <w:rPr>
          <w:rFonts w:ascii="宋体" w:hAnsi="宋体"/>
          <w:sz w:val="24"/>
          <w:szCs w:val="24"/>
        </w:rPr>
        <w:t>临床药学人员的</w:t>
      </w:r>
      <w:r>
        <w:rPr>
          <w:rFonts w:ascii="宋体" w:hAnsi="宋体" w:hint="eastAsia"/>
          <w:sz w:val="24"/>
          <w:szCs w:val="24"/>
        </w:rPr>
        <w:t>重点及难题</w:t>
      </w:r>
      <w:r w:rsidRPr="00B326C1">
        <w:rPr>
          <w:rFonts w:ascii="宋体" w:hAnsi="宋体"/>
          <w:sz w:val="24"/>
          <w:szCs w:val="24"/>
        </w:rPr>
        <w:t>。</w:t>
      </w:r>
      <w:r>
        <w:rPr>
          <w:rFonts w:ascii="宋体" w:hAnsi="宋体" w:hint="eastAsia"/>
          <w:sz w:val="24"/>
          <w:szCs w:val="24"/>
        </w:rPr>
        <w:t>作为</w:t>
      </w:r>
      <w:r w:rsidRPr="00DF42DA">
        <w:rPr>
          <w:rFonts w:ascii="宋体" w:hAnsi="宋体" w:hint="eastAsia"/>
          <w:sz w:val="24"/>
          <w:szCs w:val="24"/>
        </w:rPr>
        <w:t>一项全新的制度</w:t>
      </w:r>
      <w:r>
        <w:rPr>
          <w:rFonts w:ascii="宋体" w:hAnsi="宋体" w:hint="eastAsia"/>
          <w:sz w:val="24"/>
          <w:szCs w:val="24"/>
        </w:rPr>
        <w:t>，</w:t>
      </w:r>
      <w:r w:rsidRPr="00DF42DA">
        <w:rPr>
          <w:rFonts w:ascii="宋体" w:hAnsi="宋体" w:hint="eastAsia"/>
          <w:sz w:val="24"/>
          <w:szCs w:val="24"/>
        </w:rPr>
        <w:t>处方点评制度尚无国际</w:t>
      </w:r>
      <w:r w:rsidRPr="00DF42DA">
        <w:rPr>
          <w:rFonts w:ascii="宋体" w:hAnsi="宋体"/>
          <w:sz w:val="24"/>
          <w:szCs w:val="24"/>
        </w:rPr>
        <w:t>经验借鉴</w:t>
      </w:r>
      <w:r>
        <w:rPr>
          <w:rFonts w:ascii="宋体" w:hAnsi="宋体" w:hint="eastAsia"/>
          <w:sz w:val="24"/>
          <w:szCs w:val="24"/>
        </w:rPr>
        <w:t>，</w:t>
      </w:r>
      <w:r w:rsidRPr="00DF42DA">
        <w:rPr>
          <w:rFonts w:ascii="宋体" w:hAnsi="宋体"/>
          <w:sz w:val="24"/>
          <w:szCs w:val="24"/>
        </w:rPr>
        <w:t>国内也缺乏必要的标准和经验</w:t>
      </w:r>
      <w:r>
        <w:rPr>
          <w:rFonts w:ascii="宋体" w:hAnsi="宋体" w:hint="eastAsia"/>
          <w:sz w:val="24"/>
          <w:szCs w:val="24"/>
        </w:rPr>
        <w:t>可供参考，</w:t>
      </w:r>
      <w:r w:rsidRPr="00DF42DA">
        <w:rPr>
          <w:rFonts w:ascii="宋体" w:hAnsi="宋体"/>
          <w:sz w:val="24"/>
          <w:szCs w:val="24"/>
        </w:rPr>
        <w:t>不同</w:t>
      </w:r>
      <w:r>
        <w:rPr>
          <w:rFonts w:ascii="宋体" w:hAnsi="宋体" w:hint="eastAsia"/>
          <w:sz w:val="24"/>
          <w:szCs w:val="24"/>
        </w:rPr>
        <w:t>医疗</w:t>
      </w:r>
      <w:r w:rsidRPr="00DF42DA">
        <w:rPr>
          <w:rFonts w:ascii="宋体" w:hAnsi="宋体"/>
          <w:sz w:val="24"/>
          <w:szCs w:val="24"/>
        </w:rPr>
        <w:t>单位点评深度和水平参差不齐</w:t>
      </w:r>
      <w:r w:rsidRPr="00F76F23">
        <w:rPr>
          <w:rFonts w:ascii="宋体" w:hAnsi="宋体" w:hint="eastAsia"/>
          <w:sz w:val="24"/>
          <w:szCs w:val="24"/>
          <w:vertAlign w:val="superscript"/>
        </w:rPr>
        <w:t>[</w:t>
      </w:r>
      <w:r w:rsidRPr="00F76F23">
        <w:rPr>
          <w:rFonts w:cs="Times New Roman"/>
          <w:sz w:val="24"/>
          <w:szCs w:val="24"/>
          <w:vertAlign w:val="superscript"/>
        </w:rPr>
        <w:t>1</w:t>
      </w:r>
      <w:r w:rsidRPr="00F76F23">
        <w:rPr>
          <w:rFonts w:ascii="宋体" w:hAnsi="宋体"/>
          <w:sz w:val="24"/>
          <w:szCs w:val="24"/>
          <w:vertAlign w:val="superscript"/>
        </w:rPr>
        <w:t>]</w:t>
      </w:r>
      <w:r>
        <w:rPr>
          <w:rFonts w:ascii="宋体" w:hAnsi="宋体" w:hint="eastAsia"/>
          <w:sz w:val="24"/>
          <w:szCs w:val="24"/>
        </w:rPr>
        <w:t>。本院前期就</w:t>
      </w:r>
      <w:r w:rsidRPr="00642B63">
        <w:rPr>
          <w:rFonts w:ascii="宋体" w:hAnsi="宋体" w:hint="eastAsia"/>
          <w:sz w:val="24"/>
          <w:szCs w:val="24"/>
        </w:rPr>
        <w:t>如何开展中药处方点评</w:t>
      </w:r>
      <w:r w:rsidRPr="00642B63">
        <w:rPr>
          <w:rFonts w:ascii="宋体" w:hAnsi="宋体"/>
          <w:sz w:val="24"/>
          <w:szCs w:val="24"/>
        </w:rPr>
        <w:t>作了大量的</w:t>
      </w:r>
      <w:r>
        <w:rPr>
          <w:rFonts w:ascii="宋体" w:hAnsi="宋体" w:hint="eastAsia"/>
          <w:sz w:val="24"/>
          <w:szCs w:val="24"/>
        </w:rPr>
        <w:t>探索和实践，总结出以下几点</w:t>
      </w:r>
      <w:r w:rsidRPr="00C74F83">
        <w:rPr>
          <w:rFonts w:ascii="宋体" w:hAnsi="宋体" w:hint="eastAsia"/>
          <w:sz w:val="24"/>
          <w:szCs w:val="24"/>
        </w:rPr>
        <w:t>中药处方点评</w:t>
      </w:r>
      <w:r>
        <w:rPr>
          <w:rFonts w:ascii="宋体" w:hAnsi="宋体" w:hint="eastAsia"/>
          <w:sz w:val="24"/>
          <w:szCs w:val="24"/>
        </w:rPr>
        <w:t>工作</w:t>
      </w:r>
      <w:r w:rsidRPr="00C74F83">
        <w:rPr>
          <w:rFonts w:ascii="宋体" w:hAnsi="宋体" w:hint="eastAsia"/>
          <w:sz w:val="24"/>
          <w:szCs w:val="24"/>
        </w:rPr>
        <w:t>的实施要点</w:t>
      </w:r>
      <w:r>
        <w:rPr>
          <w:rFonts w:ascii="宋体" w:hAnsi="宋体" w:hint="eastAsia"/>
          <w:sz w:val="24"/>
          <w:szCs w:val="24"/>
        </w:rPr>
        <w:t>：</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2.2.1</w:t>
      </w:r>
      <w:r>
        <w:rPr>
          <w:rFonts w:ascii="宋体" w:hAnsi="宋体"/>
          <w:sz w:val="24"/>
          <w:szCs w:val="24"/>
        </w:rPr>
        <w:t xml:space="preserve"> </w:t>
      </w:r>
      <w:r>
        <w:rPr>
          <w:rFonts w:ascii="宋体" w:hAnsi="宋体" w:hint="eastAsia"/>
          <w:sz w:val="24"/>
          <w:szCs w:val="24"/>
        </w:rPr>
        <w:t>点评处方是否规范</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处方的规范性包括处方内容（前记、正文、后记）是否完整；用语是否规</w:t>
      </w:r>
      <w:r>
        <w:rPr>
          <w:rFonts w:ascii="宋体" w:hAnsi="宋体" w:hint="eastAsia"/>
          <w:sz w:val="24"/>
          <w:szCs w:val="24"/>
        </w:rPr>
        <w:lastRenderedPageBreak/>
        <w:t>范；处方医师是否具有相应的处方权限，尤其是在麻醉药品的应用上；处方中药物是否按照“君、臣、佐、使”的顺序排列及处方用药疗程是否合理等。</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2.2.2</w:t>
      </w:r>
      <w:r>
        <w:rPr>
          <w:rFonts w:ascii="宋体" w:hAnsi="宋体"/>
          <w:sz w:val="24"/>
          <w:szCs w:val="24"/>
        </w:rPr>
        <w:t xml:space="preserve"> </w:t>
      </w:r>
      <w:r>
        <w:rPr>
          <w:rFonts w:ascii="宋体" w:hAnsi="宋体" w:hint="eastAsia"/>
          <w:sz w:val="24"/>
          <w:szCs w:val="24"/>
        </w:rPr>
        <w:t>点评处方是否适宜</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处方的适宜性包括处方用药是否符合辨证施治的原则；药物的联合用药（中药与中成药、中成药与中成药、中药与西药、含西药成份的中成药与西药的联合）是否合理；药物遴选的剂型、给药途径、用法、用量是否适当；是否有重复给药现象等。</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2.2.3</w:t>
      </w:r>
      <w:r>
        <w:rPr>
          <w:rFonts w:ascii="宋体" w:hAnsi="宋体"/>
          <w:sz w:val="24"/>
          <w:szCs w:val="24"/>
        </w:rPr>
        <w:t xml:space="preserve"> </w:t>
      </w:r>
      <w:r>
        <w:rPr>
          <w:rFonts w:ascii="宋体" w:hAnsi="宋体" w:hint="eastAsia"/>
          <w:sz w:val="24"/>
          <w:szCs w:val="24"/>
        </w:rPr>
        <w:t>点评处方是否为超常处方</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有下列情形之一出现的处方应判定为超常处方：（</w:t>
      </w:r>
      <w:r w:rsidRPr="006E2942">
        <w:rPr>
          <w:rFonts w:cs="Times New Roman"/>
          <w:sz w:val="24"/>
          <w:szCs w:val="24"/>
        </w:rPr>
        <w:t>1</w:t>
      </w:r>
      <w:r>
        <w:rPr>
          <w:rFonts w:ascii="宋体" w:hAnsi="宋体" w:hint="eastAsia"/>
          <w:sz w:val="24"/>
          <w:szCs w:val="24"/>
        </w:rPr>
        <w:t>）无适应证用药或理法方药明显矛盾；（</w:t>
      </w:r>
      <w:r w:rsidRPr="006E2942">
        <w:rPr>
          <w:rFonts w:cs="Times New Roman"/>
          <w:sz w:val="24"/>
          <w:szCs w:val="24"/>
        </w:rPr>
        <w:t>2</w:t>
      </w:r>
      <w:r>
        <w:rPr>
          <w:rFonts w:ascii="宋体" w:hAnsi="宋体" w:hint="eastAsia"/>
          <w:sz w:val="24"/>
          <w:szCs w:val="24"/>
        </w:rPr>
        <w:t>）无正当理由开具“大处方”，包括单剂药味数过多（超过</w:t>
      </w:r>
      <w:r w:rsidRPr="00D25003">
        <w:rPr>
          <w:rFonts w:cs="Times New Roman"/>
          <w:sz w:val="24"/>
          <w:szCs w:val="24"/>
        </w:rPr>
        <w:t>18</w:t>
      </w:r>
      <w:r>
        <w:rPr>
          <w:rFonts w:ascii="宋体" w:hAnsi="宋体" w:hint="eastAsia"/>
          <w:sz w:val="24"/>
          <w:szCs w:val="24"/>
        </w:rPr>
        <w:t>味），单剂用药重量过大（超过</w:t>
      </w:r>
      <w:r w:rsidRPr="00D25003">
        <w:rPr>
          <w:rFonts w:cs="Times New Roman"/>
          <w:sz w:val="24"/>
          <w:szCs w:val="24"/>
        </w:rPr>
        <w:t>2</w:t>
      </w:r>
      <w:r>
        <w:rPr>
          <w:rFonts w:cs="Times New Roman" w:hint="eastAsia"/>
          <w:sz w:val="24"/>
          <w:szCs w:val="24"/>
        </w:rPr>
        <w:t>4</w:t>
      </w:r>
      <w:r w:rsidRPr="00D25003">
        <w:rPr>
          <w:rFonts w:cs="Times New Roman"/>
          <w:sz w:val="24"/>
          <w:szCs w:val="24"/>
        </w:rPr>
        <w:t>0g</w:t>
      </w:r>
      <w:r>
        <w:rPr>
          <w:rFonts w:ascii="宋体" w:hAnsi="宋体" w:hint="eastAsia"/>
          <w:sz w:val="24"/>
          <w:szCs w:val="24"/>
        </w:rPr>
        <w:t>）的处方</w:t>
      </w:r>
      <w:r w:rsidRPr="00D0498C">
        <w:rPr>
          <w:rFonts w:ascii="宋体" w:hAnsi="宋体" w:hint="eastAsia"/>
          <w:sz w:val="24"/>
          <w:szCs w:val="24"/>
          <w:vertAlign w:val="superscript"/>
        </w:rPr>
        <w:t>[</w:t>
      </w:r>
      <w:r w:rsidRPr="00D0498C">
        <w:rPr>
          <w:rFonts w:cs="Times New Roman"/>
          <w:sz w:val="24"/>
          <w:szCs w:val="24"/>
          <w:vertAlign w:val="superscript"/>
        </w:rPr>
        <w:t>2</w:t>
      </w:r>
      <w:r w:rsidRPr="00D0498C">
        <w:rPr>
          <w:rFonts w:ascii="宋体" w:hAnsi="宋体"/>
          <w:sz w:val="24"/>
          <w:szCs w:val="24"/>
          <w:vertAlign w:val="superscript"/>
        </w:rPr>
        <w:t>]</w:t>
      </w:r>
      <w:r w:rsidRPr="009B1CA2">
        <w:rPr>
          <w:rFonts w:ascii="宋体" w:hAnsi="宋体" w:hint="eastAsia"/>
          <w:sz w:val="24"/>
          <w:szCs w:val="24"/>
        </w:rPr>
        <w:t xml:space="preserve"> </w:t>
      </w:r>
      <w:r>
        <w:rPr>
          <w:rFonts w:ascii="宋体" w:hAnsi="宋体" w:hint="eastAsia"/>
          <w:sz w:val="24"/>
          <w:szCs w:val="24"/>
        </w:rPr>
        <w:t>；（</w:t>
      </w:r>
      <w:r w:rsidRPr="00331BE3">
        <w:rPr>
          <w:rFonts w:cs="Times New Roman"/>
          <w:sz w:val="24"/>
          <w:szCs w:val="24"/>
        </w:rPr>
        <w:t>3</w:t>
      </w:r>
      <w:r>
        <w:rPr>
          <w:rFonts w:ascii="宋体" w:hAnsi="宋体" w:hint="eastAsia"/>
          <w:sz w:val="24"/>
          <w:szCs w:val="24"/>
        </w:rPr>
        <w:t>）毒性中药（</w:t>
      </w:r>
      <w:r w:rsidRPr="009B1CA2">
        <w:rPr>
          <w:rFonts w:cs="Times New Roman"/>
          <w:sz w:val="24"/>
          <w:szCs w:val="24"/>
        </w:rPr>
        <w:t>28</w:t>
      </w:r>
      <w:r>
        <w:rPr>
          <w:rFonts w:cs="Times New Roman" w:hint="eastAsia"/>
          <w:sz w:val="24"/>
          <w:szCs w:val="24"/>
        </w:rPr>
        <w:t>种</w:t>
      </w:r>
      <w:r>
        <w:rPr>
          <w:rFonts w:ascii="宋体" w:hAnsi="宋体" w:hint="eastAsia"/>
          <w:sz w:val="24"/>
          <w:szCs w:val="24"/>
        </w:rPr>
        <w:t>）超剂量使用；（</w:t>
      </w:r>
      <w:r w:rsidRPr="00D222B9">
        <w:rPr>
          <w:rFonts w:cs="Times New Roman"/>
          <w:sz w:val="24"/>
          <w:szCs w:val="24"/>
        </w:rPr>
        <w:t>4</w:t>
      </w:r>
      <w:r>
        <w:rPr>
          <w:rFonts w:ascii="宋体" w:hAnsi="宋体" w:hint="eastAsia"/>
          <w:sz w:val="24"/>
          <w:szCs w:val="24"/>
        </w:rPr>
        <w:t>）严重违反使用禁忌的。</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2.3</w:t>
      </w:r>
      <w:r>
        <w:rPr>
          <w:rFonts w:ascii="宋体" w:hAnsi="宋体"/>
          <w:sz w:val="24"/>
          <w:szCs w:val="24"/>
        </w:rPr>
        <w:t xml:space="preserve"> </w:t>
      </w:r>
      <w:r>
        <w:rPr>
          <w:rFonts w:ascii="宋体" w:hAnsi="宋体" w:hint="eastAsia"/>
          <w:sz w:val="24"/>
          <w:szCs w:val="24"/>
        </w:rPr>
        <w:t>积极开展药学咨询服务及用药教育</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2.3.1</w:t>
      </w:r>
      <w:r>
        <w:rPr>
          <w:rFonts w:ascii="宋体" w:hAnsi="宋体"/>
          <w:sz w:val="24"/>
          <w:szCs w:val="24"/>
        </w:rPr>
        <w:t xml:space="preserve"> </w:t>
      </w:r>
      <w:r>
        <w:rPr>
          <w:rFonts w:ascii="宋体" w:hAnsi="宋体" w:hint="eastAsia"/>
          <w:sz w:val="24"/>
          <w:szCs w:val="24"/>
        </w:rPr>
        <w:t>坚持参加临床药学查房，开展药物咨询工作</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药学</w:t>
      </w:r>
      <w:r w:rsidRPr="00BE3C7F">
        <w:rPr>
          <w:rFonts w:ascii="宋体" w:hAnsi="宋体" w:hint="eastAsia"/>
          <w:sz w:val="24"/>
          <w:szCs w:val="24"/>
        </w:rPr>
        <w:t>查房是中药</w:t>
      </w:r>
      <w:r>
        <w:rPr>
          <w:rFonts w:ascii="宋体" w:hAnsi="宋体" w:hint="eastAsia"/>
          <w:sz w:val="24"/>
          <w:szCs w:val="24"/>
        </w:rPr>
        <w:t>临床药</w:t>
      </w:r>
      <w:r w:rsidRPr="00BE3C7F">
        <w:rPr>
          <w:rFonts w:ascii="宋体" w:hAnsi="宋体" w:hint="eastAsia"/>
          <w:sz w:val="24"/>
          <w:szCs w:val="24"/>
        </w:rPr>
        <w:t>师参与临床</w:t>
      </w:r>
      <w:r>
        <w:rPr>
          <w:rFonts w:ascii="宋体" w:hAnsi="宋体" w:hint="eastAsia"/>
          <w:sz w:val="24"/>
          <w:szCs w:val="24"/>
        </w:rPr>
        <w:t>工作</w:t>
      </w:r>
      <w:r w:rsidRPr="00BE3C7F">
        <w:rPr>
          <w:rFonts w:ascii="宋体" w:hAnsi="宋体" w:hint="eastAsia"/>
          <w:sz w:val="24"/>
          <w:szCs w:val="24"/>
        </w:rPr>
        <w:t>的</w:t>
      </w:r>
      <w:r>
        <w:rPr>
          <w:rFonts w:ascii="宋体" w:hAnsi="宋体" w:hint="eastAsia"/>
          <w:sz w:val="24"/>
          <w:szCs w:val="24"/>
        </w:rPr>
        <w:t>主要</w:t>
      </w:r>
      <w:r w:rsidRPr="00BE3C7F">
        <w:rPr>
          <w:rFonts w:ascii="宋体" w:hAnsi="宋体" w:hint="eastAsia"/>
          <w:sz w:val="24"/>
          <w:szCs w:val="24"/>
        </w:rPr>
        <w:t>方式</w:t>
      </w:r>
      <w:r>
        <w:rPr>
          <w:rFonts w:ascii="宋体" w:hAnsi="宋体" w:hint="eastAsia"/>
          <w:sz w:val="24"/>
          <w:szCs w:val="24"/>
        </w:rPr>
        <w:t>，有助于及时了解患者的病情转归，学习临床医师的思维方式，对医师的用药治疗方案给予合理化建议。同时，中药临床药师应</w:t>
      </w:r>
      <w:r w:rsidRPr="007A0477">
        <w:rPr>
          <w:rFonts w:ascii="宋体" w:hAnsi="宋体"/>
          <w:sz w:val="24"/>
          <w:szCs w:val="24"/>
        </w:rPr>
        <w:t>满足患者</w:t>
      </w:r>
      <w:r>
        <w:rPr>
          <w:rFonts w:ascii="宋体" w:hAnsi="宋体" w:hint="eastAsia"/>
          <w:sz w:val="24"/>
          <w:szCs w:val="24"/>
        </w:rPr>
        <w:t>的</w:t>
      </w:r>
      <w:r w:rsidRPr="007A0477">
        <w:rPr>
          <w:rFonts w:ascii="宋体" w:hAnsi="宋体"/>
          <w:sz w:val="24"/>
          <w:szCs w:val="24"/>
        </w:rPr>
        <w:t>用药需求，</w:t>
      </w:r>
      <w:r>
        <w:rPr>
          <w:rFonts w:ascii="宋体" w:hAnsi="宋体" w:hint="eastAsia"/>
          <w:sz w:val="24"/>
          <w:szCs w:val="24"/>
        </w:rPr>
        <w:t>帮助患者</w:t>
      </w:r>
      <w:r w:rsidRPr="007A0477">
        <w:rPr>
          <w:rFonts w:ascii="宋体" w:hAnsi="宋体"/>
          <w:sz w:val="24"/>
          <w:szCs w:val="24"/>
        </w:rPr>
        <w:t>解决</w:t>
      </w:r>
      <w:r>
        <w:rPr>
          <w:rFonts w:ascii="宋体" w:hAnsi="宋体" w:hint="eastAsia"/>
          <w:sz w:val="24"/>
          <w:szCs w:val="24"/>
        </w:rPr>
        <w:t>相关的</w:t>
      </w:r>
      <w:r w:rsidRPr="007A0477">
        <w:rPr>
          <w:rFonts w:ascii="宋体" w:hAnsi="宋体"/>
          <w:sz w:val="24"/>
          <w:szCs w:val="24"/>
        </w:rPr>
        <w:t>中药信息</w:t>
      </w:r>
      <w:r>
        <w:rPr>
          <w:rFonts w:ascii="宋体" w:hAnsi="宋体" w:hint="eastAsia"/>
          <w:sz w:val="24"/>
          <w:szCs w:val="24"/>
        </w:rPr>
        <w:t>、</w:t>
      </w:r>
      <w:r w:rsidRPr="007A0477">
        <w:rPr>
          <w:rFonts w:ascii="宋体" w:hAnsi="宋体"/>
          <w:sz w:val="24"/>
          <w:szCs w:val="24"/>
        </w:rPr>
        <w:t>用药选择、中西药</w:t>
      </w:r>
      <w:r>
        <w:rPr>
          <w:rFonts w:ascii="宋体" w:hAnsi="宋体" w:hint="eastAsia"/>
          <w:sz w:val="24"/>
          <w:szCs w:val="24"/>
        </w:rPr>
        <w:t>联用</w:t>
      </w:r>
      <w:r w:rsidRPr="007A0477">
        <w:rPr>
          <w:rFonts w:ascii="宋体" w:hAnsi="宋体"/>
          <w:sz w:val="24"/>
          <w:szCs w:val="24"/>
        </w:rPr>
        <w:t>以及</w:t>
      </w:r>
      <w:r>
        <w:rPr>
          <w:rFonts w:ascii="宋体" w:hAnsi="宋体" w:hint="eastAsia"/>
          <w:sz w:val="24"/>
          <w:szCs w:val="24"/>
        </w:rPr>
        <w:t>可能出现的</w:t>
      </w:r>
      <w:r w:rsidRPr="007A0477">
        <w:rPr>
          <w:rFonts w:ascii="宋体" w:hAnsi="宋体"/>
          <w:sz w:val="24"/>
          <w:szCs w:val="24"/>
        </w:rPr>
        <w:t>药物不良反应等问题</w:t>
      </w:r>
      <w:r>
        <w:rPr>
          <w:rFonts w:ascii="宋体" w:hAnsi="宋体" w:hint="eastAsia"/>
          <w:sz w:val="24"/>
          <w:szCs w:val="24"/>
        </w:rPr>
        <w:t>，以提高药学服务质量。</w:t>
      </w:r>
    </w:p>
    <w:p w:rsidR="005B5FEC" w:rsidRDefault="005B5FEC" w:rsidP="005B5FEC">
      <w:pPr>
        <w:spacing w:line="360" w:lineRule="auto"/>
        <w:jc w:val="left"/>
        <w:rPr>
          <w:rFonts w:ascii="宋体" w:hAnsi="宋体"/>
          <w:sz w:val="24"/>
          <w:szCs w:val="24"/>
        </w:rPr>
      </w:pPr>
      <w:r w:rsidRPr="002A07A8">
        <w:rPr>
          <w:rFonts w:cs="Times New Roman" w:hint="eastAsia"/>
          <w:sz w:val="24"/>
          <w:szCs w:val="24"/>
        </w:rPr>
        <w:t>2.3.2</w:t>
      </w:r>
      <w:r w:rsidRPr="002A07A8">
        <w:rPr>
          <w:rFonts w:cs="Times New Roman"/>
          <w:sz w:val="24"/>
          <w:szCs w:val="24"/>
        </w:rPr>
        <w:t xml:space="preserve"> </w:t>
      </w:r>
      <w:r>
        <w:rPr>
          <w:rFonts w:ascii="宋体" w:hAnsi="宋体" w:hint="eastAsia"/>
          <w:sz w:val="24"/>
          <w:szCs w:val="24"/>
        </w:rPr>
        <w:t>开展中药相关知识的普及教育工作</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中药临床药师应</w:t>
      </w:r>
      <w:r w:rsidRPr="00227DD7">
        <w:rPr>
          <w:rFonts w:ascii="宋体" w:hAnsi="宋体" w:hint="eastAsia"/>
          <w:sz w:val="24"/>
          <w:szCs w:val="24"/>
        </w:rPr>
        <w:t>针对患者进行</w:t>
      </w:r>
      <w:r>
        <w:rPr>
          <w:rFonts w:ascii="宋体" w:hAnsi="宋体" w:hint="eastAsia"/>
          <w:sz w:val="24"/>
          <w:szCs w:val="24"/>
        </w:rPr>
        <w:t>中药相关知识的普及教育</w:t>
      </w:r>
      <w:r w:rsidRPr="00227DD7">
        <w:rPr>
          <w:rFonts w:ascii="宋体" w:hAnsi="宋体" w:hint="eastAsia"/>
          <w:sz w:val="24"/>
          <w:szCs w:val="24"/>
        </w:rPr>
        <w:t>，包括中</w:t>
      </w:r>
      <w:r w:rsidRPr="00227DD7">
        <w:rPr>
          <w:rFonts w:ascii="宋体" w:hAnsi="宋体"/>
          <w:sz w:val="24"/>
          <w:szCs w:val="24"/>
        </w:rPr>
        <w:t>药的</w:t>
      </w:r>
      <w:r>
        <w:rPr>
          <w:rFonts w:ascii="宋体" w:hAnsi="宋体" w:hint="eastAsia"/>
          <w:sz w:val="24"/>
          <w:szCs w:val="24"/>
        </w:rPr>
        <w:t>煎煮方法、服药</w:t>
      </w:r>
      <w:r w:rsidRPr="00227DD7">
        <w:rPr>
          <w:rFonts w:ascii="宋体" w:hAnsi="宋体"/>
          <w:sz w:val="24"/>
          <w:szCs w:val="24"/>
        </w:rPr>
        <w:t>时间、</w:t>
      </w:r>
      <w:r>
        <w:rPr>
          <w:rFonts w:ascii="宋体" w:hAnsi="宋体" w:hint="eastAsia"/>
          <w:sz w:val="24"/>
          <w:szCs w:val="24"/>
        </w:rPr>
        <w:t>服药剂量</w:t>
      </w:r>
      <w:r w:rsidRPr="00227DD7">
        <w:rPr>
          <w:rFonts w:ascii="宋体" w:hAnsi="宋体"/>
          <w:sz w:val="24"/>
          <w:szCs w:val="24"/>
        </w:rPr>
        <w:t>、服药</w:t>
      </w:r>
      <w:r>
        <w:rPr>
          <w:rFonts w:ascii="宋体" w:hAnsi="宋体" w:hint="eastAsia"/>
          <w:sz w:val="24"/>
          <w:szCs w:val="24"/>
        </w:rPr>
        <w:t>期间的食物禁忌</w:t>
      </w:r>
      <w:r w:rsidRPr="00227DD7">
        <w:rPr>
          <w:rFonts w:ascii="宋体" w:hAnsi="宋体"/>
          <w:sz w:val="24"/>
          <w:szCs w:val="24"/>
        </w:rPr>
        <w:t>等，以及针对不同疾病</w:t>
      </w:r>
      <w:r>
        <w:rPr>
          <w:rFonts w:ascii="宋体" w:hAnsi="宋体" w:hint="eastAsia"/>
          <w:sz w:val="24"/>
          <w:szCs w:val="24"/>
        </w:rPr>
        <w:t>患者</w:t>
      </w:r>
      <w:r w:rsidRPr="00227DD7">
        <w:rPr>
          <w:rFonts w:ascii="宋体" w:hAnsi="宋体"/>
          <w:sz w:val="24"/>
          <w:szCs w:val="24"/>
        </w:rPr>
        <w:t>如高血压</w:t>
      </w:r>
      <w:r>
        <w:rPr>
          <w:rFonts w:ascii="宋体" w:hAnsi="宋体" w:hint="eastAsia"/>
          <w:sz w:val="24"/>
          <w:szCs w:val="24"/>
        </w:rPr>
        <w:t>、糖尿病、高脂血症</w:t>
      </w:r>
      <w:r w:rsidRPr="00227DD7">
        <w:rPr>
          <w:rFonts w:ascii="宋体" w:hAnsi="宋体"/>
          <w:sz w:val="24"/>
          <w:szCs w:val="24"/>
        </w:rPr>
        <w:t>等进行</w:t>
      </w:r>
      <w:r>
        <w:rPr>
          <w:rFonts w:ascii="宋体" w:hAnsi="宋体" w:hint="eastAsia"/>
          <w:sz w:val="24"/>
          <w:szCs w:val="24"/>
        </w:rPr>
        <w:t>个体化</w:t>
      </w:r>
      <w:r w:rsidRPr="00227DD7">
        <w:rPr>
          <w:rFonts w:ascii="宋体" w:hAnsi="宋体"/>
          <w:sz w:val="24"/>
          <w:szCs w:val="24"/>
        </w:rPr>
        <w:t>用药教育。在此</w:t>
      </w:r>
      <w:r>
        <w:rPr>
          <w:rFonts w:ascii="宋体" w:hAnsi="宋体" w:hint="eastAsia"/>
          <w:sz w:val="24"/>
          <w:szCs w:val="24"/>
        </w:rPr>
        <w:t>用药教育</w:t>
      </w:r>
      <w:r w:rsidRPr="00227DD7">
        <w:rPr>
          <w:rFonts w:ascii="宋体" w:hAnsi="宋体"/>
          <w:sz w:val="24"/>
          <w:szCs w:val="24"/>
        </w:rPr>
        <w:t>过程中，</w:t>
      </w:r>
      <w:r>
        <w:rPr>
          <w:rFonts w:ascii="宋体" w:hAnsi="宋体" w:hint="eastAsia"/>
          <w:sz w:val="24"/>
          <w:szCs w:val="24"/>
        </w:rPr>
        <w:t>中药临</w:t>
      </w:r>
      <w:r>
        <w:rPr>
          <w:rFonts w:ascii="宋体" w:hAnsi="宋体" w:hint="eastAsia"/>
          <w:sz w:val="24"/>
          <w:szCs w:val="24"/>
        </w:rPr>
        <w:lastRenderedPageBreak/>
        <w:t>床药师应充分</w:t>
      </w:r>
      <w:r w:rsidRPr="00227DD7">
        <w:rPr>
          <w:rFonts w:ascii="宋体" w:hAnsi="宋体"/>
          <w:sz w:val="24"/>
          <w:szCs w:val="24"/>
        </w:rPr>
        <w:t>发挥中医药特色，突出</w:t>
      </w:r>
      <w:r>
        <w:rPr>
          <w:rFonts w:ascii="宋体" w:hAnsi="宋体" w:hint="eastAsia"/>
          <w:sz w:val="24"/>
          <w:szCs w:val="24"/>
        </w:rPr>
        <w:t>自己所学所长，提高患者用药依从性，达到规范用药、合理用药的目的</w:t>
      </w:r>
      <w:r w:rsidRPr="00227DD7">
        <w:rPr>
          <w:rFonts w:ascii="宋体" w:hAnsi="宋体"/>
          <w:sz w:val="24"/>
          <w:szCs w:val="24"/>
        </w:rPr>
        <w:t>。</w:t>
      </w:r>
    </w:p>
    <w:p w:rsidR="005B5FEC" w:rsidRPr="002A07A8" w:rsidRDefault="005B5FEC" w:rsidP="005B5FEC">
      <w:pPr>
        <w:pStyle w:val="af2"/>
        <w:numPr>
          <w:ilvl w:val="1"/>
          <w:numId w:val="5"/>
        </w:numPr>
        <w:spacing w:line="360" w:lineRule="auto"/>
        <w:ind w:firstLineChars="0"/>
        <w:jc w:val="left"/>
        <w:rPr>
          <w:rFonts w:ascii="宋体" w:eastAsia="宋体" w:hAnsi="宋体"/>
          <w:sz w:val="24"/>
          <w:szCs w:val="24"/>
        </w:rPr>
      </w:pPr>
      <w:r>
        <w:rPr>
          <w:rFonts w:ascii="宋体" w:eastAsia="宋体" w:hAnsi="宋体" w:hint="eastAsia"/>
          <w:sz w:val="24"/>
          <w:szCs w:val="24"/>
        </w:rPr>
        <w:t xml:space="preserve"> </w:t>
      </w:r>
      <w:r w:rsidRPr="002A07A8">
        <w:rPr>
          <w:rFonts w:ascii="宋体" w:eastAsia="宋体" w:hAnsi="宋体" w:hint="eastAsia"/>
          <w:sz w:val="24"/>
          <w:szCs w:val="24"/>
        </w:rPr>
        <w:t>及时开展中药不良反应监报工作</w:t>
      </w:r>
    </w:p>
    <w:p w:rsidR="005B5FEC" w:rsidRDefault="005B5FEC" w:rsidP="005B5FEC">
      <w:pPr>
        <w:spacing w:line="360" w:lineRule="auto"/>
        <w:ind w:firstLineChars="200" w:firstLine="480"/>
        <w:jc w:val="left"/>
        <w:rPr>
          <w:rFonts w:ascii="宋体" w:hAnsi="宋体"/>
          <w:sz w:val="24"/>
          <w:szCs w:val="24"/>
        </w:rPr>
      </w:pPr>
      <w:r w:rsidRPr="00EF2004">
        <w:rPr>
          <w:rFonts w:ascii="宋体" w:hAnsi="宋体" w:hint="eastAsia"/>
          <w:sz w:val="24"/>
          <w:szCs w:val="24"/>
        </w:rPr>
        <w:t>中药临床</w:t>
      </w:r>
      <w:r>
        <w:rPr>
          <w:rFonts w:ascii="宋体" w:hAnsi="宋体" w:hint="eastAsia"/>
          <w:sz w:val="24"/>
          <w:szCs w:val="24"/>
        </w:rPr>
        <w:t>药</w:t>
      </w:r>
      <w:r w:rsidRPr="00EF2004">
        <w:rPr>
          <w:rFonts w:ascii="宋体" w:hAnsi="宋体" w:hint="eastAsia"/>
          <w:sz w:val="24"/>
          <w:szCs w:val="24"/>
        </w:rPr>
        <w:t>师在</w:t>
      </w:r>
      <w:r>
        <w:rPr>
          <w:rFonts w:ascii="宋体" w:hAnsi="宋体" w:hint="eastAsia"/>
          <w:sz w:val="24"/>
          <w:szCs w:val="24"/>
        </w:rPr>
        <w:t>加强</w:t>
      </w:r>
      <w:r w:rsidRPr="00EF2004">
        <w:rPr>
          <w:rFonts w:ascii="宋体" w:hAnsi="宋体" w:hint="eastAsia"/>
          <w:sz w:val="24"/>
          <w:szCs w:val="24"/>
        </w:rPr>
        <w:t>中药及</w:t>
      </w:r>
      <w:r>
        <w:rPr>
          <w:rFonts w:ascii="宋体" w:hAnsi="宋体" w:hint="eastAsia"/>
          <w:sz w:val="24"/>
          <w:szCs w:val="24"/>
        </w:rPr>
        <w:t>中药</w:t>
      </w:r>
      <w:r w:rsidRPr="00EF2004">
        <w:rPr>
          <w:rFonts w:ascii="宋体" w:hAnsi="宋体" w:hint="eastAsia"/>
          <w:sz w:val="24"/>
          <w:szCs w:val="24"/>
        </w:rPr>
        <w:t>制剂的</w:t>
      </w:r>
      <w:r>
        <w:rPr>
          <w:rFonts w:ascii="宋体" w:hAnsi="宋体" w:hint="eastAsia"/>
          <w:sz w:val="24"/>
          <w:szCs w:val="24"/>
        </w:rPr>
        <w:t>合理化</w:t>
      </w:r>
      <w:r w:rsidRPr="00EF2004">
        <w:rPr>
          <w:rFonts w:ascii="宋体" w:hAnsi="宋体" w:hint="eastAsia"/>
          <w:sz w:val="24"/>
          <w:szCs w:val="24"/>
        </w:rPr>
        <w:t>用药</w:t>
      </w:r>
      <w:r>
        <w:rPr>
          <w:rFonts w:ascii="宋体" w:hAnsi="宋体" w:hint="eastAsia"/>
          <w:sz w:val="24"/>
          <w:szCs w:val="24"/>
        </w:rPr>
        <w:t>过程</w:t>
      </w:r>
      <w:r w:rsidRPr="00EF2004">
        <w:rPr>
          <w:rFonts w:ascii="宋体" w:hAnsi="宋体" w:hint="eastAsia"/>
          <w:sz w:val="24"/>
          <w:szCs w:val="24"/>
        </w:rPr>
        <w:t>中</w:t>
      </w:r>
      <w:r>
        <w:rPr>
          <w:rFonts w:ascii="宋体" w:hAnsi="宋体" w:hint="eastAsia"/>
          <w:sz w:val="24"/>
          <w:szCs w:val="24"/>
        </w:rPr>
        <w:t>有</w:t>
      </w:r>
      <w:r w:rsidRPr="00EF2004">
        <w:rPr>
          <w:rFonts w:ascii="宋体" w:hAnsi="宋体" w:hint="eastAsia"/>
          <w:sz w:val="24"/>
          <w:szCs w:val="24"/>
        </w:rPr>
        <w:t>着</w:t>
      </w:r>
      <w:r>
        <w:rPr>
          <w:rFonts w:ascii="宋体" w:hAnsi="宋体" w:hint="eastAsia"/>
          <w:sz w:val="24"/>
          <w:szCs w:val="24"/>
        </w:rPr>
        <w:t>弥足轻重</w:t>
      </w:r>
      <w:r w:rsidRPr="00EF2004">
        <w:rPr>
          <w:rFonts w:ascii="宋体" w:hAnsi="宋体"/>
          <w:sz w:val="24"/>
          <w:szCs w:val="24"/>
        </w:rPr>
        <w:t>的</w:t>
      </w:r>
      <w:r>
        <w:rPr>
          <w:rFonts w:ascii="宋体" w:hAnsi="宋体" w:hint="eastAsia"/>
          <w:sz w:val="24"/>
          <w:szCs w:val="24"/>
        </w:rPr>
        <w:t>地位</w:t>
      </w:r>
      <w:r w:rsidRPr="00EF2004">
        <w:rPr>
          <w:rFonts w:ascii="宋体" w:hAnsi="宋体"/>
          <w:sz w:val="24"/>
          <w:szCs w:val="24"/>
        </w:rPr>
        <w:t>，尤其是面对</w:t>
      </w:r>
      <w:r>
        <w:rPr>
          <w:rFonts w:ascii="宋体" w:hAnsi="宋体" w:hint="eastAsia"/>
          <w:sz w:val="24"/>
          <w:szCs w:val="24"/>
        </w:rPr>
        <w:t>部分药物如</w:t>
      </w:r>
      <w:r w:rsidRPr="00EF2004">
        <w:rPr>
          <w:rFonts w:ascii="宋体" w:hAnsi="宋体"/>
          <w:sz w:val="24"/>
          <w:szCs w:val="24"/>
        </w:rPr>
        <w:t>中药注射剂，</w:t>
      </w:r>
      <w:r>
        <w:rPr>
          <w:rFonts w:ascii="宋体" w:hAnsi="宋体" w:hint="eastAsia"/>
          <w:sz w:val="24"/>
          <w:szCs w:val="24"/>
        </w:rPr>
        <w:t>再评价和监测工作对保障用药安全性尤为重要。我院中药临床药师除了对一般的不良反应开展监报工作外，</w:t>
      </w:r>
      <w:r w:rsidRPr="008633EF">
        <w:rPr>
          <w:rFonts w:ascii="宋体" w:hAnsi="宋体" w:hint="eastAsia"/>
          <w:sz w:val="24"/>
          <w:szCs w:val="24"/>
        </w:rPr>
        <w:t>还将</w:t>
      </w:r>
      <w:r>
        <w:rPr>
          <w:rFonts w:ascii="宋体" w:hAnsi="宋体" w:hint="eastAsia"/>
          <w:sz w:val="24"/>
          <w:szCs w:val="24"/>
        </w:rPr>
        <w:t>对由</w:t>
      </w:r>
      <w:r w:rsidRPr="008633EF">
        <w:rPr>
          <w:rFonts w:ascii="宋体" w:hAnsi="宋体" w:hint="eastAsia"/>
          <w:sz w:val="24"/>
          <w:szCs w:val="24"/>
        </w:rPr>
        <w:t>中药</w:t>
      </w:r>
      <w:r>
        <w:rPr>
          <w:rFonts w:ascii="宋体" w:hAnsi="宋体" w:hint="eastAsia"/>
          <w:sz w:val="24"/>
          <w:szCs w:val="24"/>
        </w:rPr>
        <w:t>不合理应用引发</w:t>
      </w:r>
      <w:r w:rsidRPr="008633EF">
        <w:rPr>
          <w:rFonts w:ascii="宋体" w:hAnsi="宋体" w:hint="eastAsia"/>
          <w:sz w:val="24"/>
          <w:szCs w:val="24"/>
        </w:rPr>
        <w:t>的药源性疾病列为</w:t>
      </w:r>
      <w:r w:rsidRPr="008633EF">
        <w:rPr>
          <w:rFonts w:ascii="宋体" w:hAnsi="宋体"/>
          <w:sz w:val="24"/>
          <w:szCs w:val="24"/>
        </w:rPr>
        <w:t>重点</w:t>
      </w:r>
      <w:r>
        <w:rPr>
          <w:rFonts w:ascii="宋体" w:hAnsi="宋体" w:hint="eastAsia"/>
          <w:sz w:val="24"/>
          <w:szCs w:val="24"/>
        </w:rPr>
        <w:t>监测</w:t>
      </w:r>
      <w:r w:rsidRPr="008633EF">
        <w:rPr>
          <w:rFonts w:ascii="宋体" w:hAnsi="宋体"/>
          <w:sz w:val="24"/>
          <w:szCs w:val="24"/>
        </w:rPr>
        <w:t>对象，</w:t>
      </w:r>
      <w:r>
        <w:rPr>
          <w:rFonts w:ascii="宋体" w:hAnsi="宋体" w:hint="eastAsia"/>
          <w:sz w:val="24"/>
          <w:szCs w:val="24"/>
        </w:rPr>
        <w:t>一旦发现不良反应／事件，尽早评价，及时上报，并</w:t>
      </w:r>
      <w:r w:rsidRPr="008633EF">
        <w:rPr>
          <w:rFonts w:ascii="宋体" w:hAnsi="宋体"/>
          <w:sz w:val="24"/>
          <w:szCs w:val="24"/>
        </w:rPr>
        <w:t>将分析</w:t>
      </w:r>
      <w:r>
        <w:rPr>
          <w:rFonts w:ascii="宋体" w:hAnsi="宋体" w:hint="eastAsia"/>
          <w:sz w:val="24"/>
          <w:szCs w:val="24"/>
        </w:rPr>
        <w:t>评价</w:t>
      </w:r>
      <w:r w:rsidRPr="008633EF">
        <w:rPr>
          <w:rFonts w:ascii="宋体" w:hAnsi="宋体"/>
          <w:sz w:val="24"/>
          <w:szCs w:val="24"/>
        </w:rPr>
        <w:t>结果及时反馈给</w:t>
      </w:r>
      <w:r>
        <w:rPr>
          <w:rFonts w:ascii="宋体" w:hAnsi="宋体" w:hint="eastAsia"/>
          <w:sz w:val="24"/>
          <w:szCs w:val="24"/>
        </w:rPr>
        <w:t>相应岗位的</w:t>
      </w:r>
      <w:r w:rsidRPr="008633EF">
        <w:rPr>
          <w:rFonts w:ascii="宋体" w:hAnsi="宋体"/>
          <w:sz w:val="24"/>
          <w:szCs w:val="24"/>
        </w:rPr>
        <w:t>临床</w:t>
      </w:r>
      <w:r>
        <w:rPr>
          <w:rFonts w:ascii="宋体" w:hAnsi="宋体" w:hint="eastAsia"/>
          <w:sz w:val="24"/>
          <w:szCs w:val="24"/>
        </w:rPr>
        <w:t>工作人员</w:t>
      </w:r>
      <w:r w:rsidRPr="008633EF">
        <w:rPr>
          <w:rFonts w:ascii="宋体" w:hAnsi="宋体"/>
          <w:sz w:val="24"/>
          <w:szCs w:val="24"/>
        </w:rPr>
        <w:t>，并提出合理</w:t>
      </w:r>
      <w:r>
        <w:rPr>
          <w:rFonts w:ascii="宋体" w:hAnsi="宋体" w:hint="eastAsia"/>
          <w:sz w:val="24"/>
          <w:szCs w:val="24"/>
        </w:rPr>
        <w:t>的应急处理预案</w:t>
      </w:r>
      <w:r w:rsidRPr="008633EF">
        <w:rPr>
          <w:rFonts w:ascii="宋体" w:hAnsi="宋体"/>
          <w:sz w:val="24"/>
          <w:szCs w:val="24"/>
        </w:rPr>
        <w:t>，从而</w:t>
      </w:r>
      <w:r>
        <w:rPr>
          <w:rFonts w:ascii="宋体" w:hAnsi="宋体" w:hint="eastAsia"/>
          <w:sz w:val="24"/>
          <w:szCs w:val="24"/>
        </w:rPr>
        <w:t>极大降低中药不良反应</w:t>
      </w:r>
      <w:r w:rsidRPr="008633EF">
        <w:rPr>
          <w:rFonts w:ascii="宋体" w:hAnsi="宋体"/>
          <w:sz w:val="24"/>
          <w:szCs w:val="24"/>
        </w:rPr>
        <w:t>的发生率。</w:t>
      </w:r>
    </w:p>
    <w:p w:rsidR="005B5FEC" w:rsidRPr="00E1075E" w:rsidRDefault="005B5FEC" w:rsidP="005B5FEC">
      <w:pPr>
        <w:pStyle w:val="3"/>
        <w:ind w:firstLine="422"/>
      </w:pPr>
      <w:r>
        <w:rPr>
          <w:rFonts w:hint="eastAsia"/>
        </w:rPr>
        <w:t>3</w:t>
      </w:r>
      <w:r>
        <w:t xml:space="preserve"> </w:t>
      </w:r>
      <w:r w:rsidRPr="00E1075E">
        <w:rPr>
          <w:rFonts w:hint="eastAsia"/>
        </w:rPr>
        <w:t>对中药临床药师从事药学服务思考的问题</w:t>
      </w:r>
    </w:p>
    <w:p w:rsidR="005B5FEC" w:rsidRPr="00E1075E" w:rsidRDefault="005B5FEC" w:rsidP="005B5FEC">
      <w:pPr>
        <w:spacing w:line="360" w:lineRule="auto"/>
        <w:jc w:val="left"/>
        <w:rPr>
          <w:rFonts w:ascii="宋体" w:hAnsi="宋体"/>
          <w:sz w:val="24"/>
          <w:szCs w:val="24"/>
        </w:rPr>
      </w:pPr>
      <w:r w:rsidRPr="00E1075E">
        <w:rPr>
          <w:rFonts w:cs="Times New Roman"/>
          <w:sz w:val="24"/>
          <w:szCs w:val="24"/>
        </w:rPr>
        <w:t>3.1</w:t>
      </w:r>
      <w:r>
        <w:rPr>
          <w:rFonts w:ascii="宋体" w:hAnsi="宋体"/>
          <w:sz w:val="24"/>
          <w:szCs w:val="24"/>
        </w:rPr>
        <w:t xml:space="preserve"> </w:t>
      </w:r>
      <w:r w:rsidRPr="00E1075E">
        <w:rPr>
          <w:rFonts w:ascii="宋体" w:hAnsi="宋体" w:hint="eastAsia"/>
          <w:sz w:val="24"/>
          <w:szCs w:val="24"/>
        </w:rPr>
        <w:t>中药临床药师的自身定位问题</w:t>
      </w:r>
    </w:p>
    <w:p w:rsidR="005B5FEC" w:rsidRDefault="005B5FEC" w:rsidP="005B5FEC">
      <w:pPr>
        <w:spacing w:line="360" w:lineRule="auto"/>
        <w:ind w:firstLineChars="200" w:firstLine="480"/>
        <w:jc w:val="left"/>
        <w:rPr>
          <w:rFonts w:ascii="宋体" w:hAnsi="宋体"/>
          <w:sz w:val="24"/>
          <w:szCs w:val="24"/>
        </w:rPr>
      </w:pPr>
      <w:r w:rsidRPr="00CC56E4">
        <w:rPr>
          <w:rFonts w:ascii="宋体" w:hAnsi="宋体" w:hint="eastAsia"/>
          <w:sz w:val="24"/>
          <w:szCs w:val="24"/>
        </w:rPr>
        <w:t>所谓药学服务</w:t>
      </w:r>
      <w:r>
        <w:rPr>
          <w:rFonts w:ascii="宋体" w:hAnsi="宋体" w:hint="eastAsia"/>
          <w:sz w:val="24"/>
          <w:szCs w:val="24"/>
        </w:rPr>
        <w:t>，</w:t>
      </w:r>
      <w:r w:rsidRPr="00CC56E4">
        <w:rPr>
          <w:rFonts w:ascii="宋体" w:hAnsi="宋体" w:hint="eastAsia"/>
          <w:sz w:val="24"/>
          <w:szCs w:val="24"/>
        </w:rPr>
        <w:t>指的是由医院专业药学人员向患者提供</w:t>
      </w:r>
      <w:r w:rsidRPr="00CC56E4">
        <w:rPr>
          <w:rFonts w:ascii="宋体" w:hAnsi="宋体"/>
          <w:sz w:val="24"/>
          <w:szCs w:val="24"/>
        </w:rPr>
        <w:t>药物治疗相关的技术服务</w:t>
      </w:r>
      <w:r>
        <w:rPr>
          <w:rFonts w:ascii="宋体" w:hAnsi="宋体" w:hint="eastAsia"/>
          <w:sz w:val="24"/>
          <w:szCs w:val="24"/>
        </w:rPr>
        <w:t>，</w:t>
      </w:r>
      <w:r w:rsidRPr="00CC56E4">
        <w:rPr>
          <w:rFonts w:ascii="宋体" w:hAnsi="宋体"/>
          <w:sz w:val="24"/>
          <w:szCs w:val="24"/>
        </w:rPr>
        <w:t>从而保证药物治疗能够有很好的有效性、经济性、安全性及依从性</w:t>
      </w:r>
      <w:r>
        <w:rPr>
          <w:rFonts w:ascii="宋体" w:hAnsi="宋体" w:hint="eastAsia"/>
          <w:sz w:val="24"/>
          <w:szCs w:val="24"/>
        </w:rPr>
        <w:t>，</w:t>
      </w:r>
      <w:r w:rsidRPr="00CC56E4">
        <w:rPr>
          <w:rFonts w:ascii="宋体" w:hAnsi="宋体"/>
          <w:sz w:val="24"/>
          <w:szCs w:val="24"/>
        </w:rPr>
        <w:t>以提高患者的生活质量</w:t>
      </w:r>
      <w:r w:rsidRPr="002056A9">
        <w:rPr>
          <w:rFonts w:ascii="宋体" w:hAnsi="宋体" w:hint="eastAsia"/>
          <w:sz w:val="24"/>
          <w:szCs w:val="24"/>
          <w:vertAlign w:val="superscript"/>
        </w:rPr>
        <w:t>[</w:t>
      </w:r>
      <w:r w:rsidRPr="00710DC7">
        <w:rPr>
          <w:rFonts w:cs="Times New Roman"/>
          <w:sz w:val="24"/>
          <w:szCs w:val="24"/>
          <w:vertAlign w:val="superscript"/>
        </w:rPr>
        <w:t>3</w:t>
      </w:r>
      <w:r w:rsidRPr="002056A9">
        <w:rPr>
          <w:rFonts w:ascii="宋体" w:hAnsi="宋体"/>
          <w:sz w:val="24"/>
          <w:szCs w:val="24"/>
          <w:vertAlign w:val="superscript"/>
        </w:rPr>
        <w:t>]</w:t>
      </w:r>
      <w:r>
        <w:rPr>
          <w:rFonts w:ascii="宋体" w:hAnsi="宋体" w:hint="eastAsia"/>
          <w:sz w:val="24"/>
          <w:szCs w:val="24"/>
        </w:rPr>
        <w:t>。</w:t>
      </w:r>
      <w:r w:rsidRPr="00762BBC">
        <w:rPr>
          <w:rFonts w:ascii="宋体" w:hAnsi="宋体" w:hint="eastAsia"/>
          <w:sz w:val="24"/>
          <w:szCs w:val="24"/>
        </w:rPr>
        <w:t>由于我国医</w:t>
      </w:r>
      <w:proofErr w:type="gramStart"/>
      <w:r w:rsidRPr="00762BBC">
        <w:rPr>
          <w:rFonts w:ascii="宋体" w:hAnsi="宋体" w:hint="eastAsia"/>
          <w:sz w:val="24"/>
          <w:szCs w:val="24"/>
        </w:rPr>
        <w:t>改不断</w:t>
      </w:r>
      <w:proofErr w:type="gramEnd"/>
      <w:r>
        <w:rPr>
          <w:rFonts w:ascii="宋体" w:hAnsi="宋体" w:hint="eastAsia"/>
          <w:sz w:val="24"/>
          <w:szCs w:val="24"/>
        </w:rPr>
        <w:t>深化</w:t>
      </w:r>
      <w:r w:rsidRPr="00762BBC">
        <w:rPr>
          <w:rFonts w:ascii="宋体" w:hAnsi="宋体"/>
          <w:sz w:val="24"/>
          <w:szCs w:val="24"/>
        </w:rPr>
        <w:t>，以药养</w:t>
      </w:r>
      <w:proofErr w:type="gramStart"/>
      <w:r w:rsidRPr="00762BBC">
        <w:rPr>
          <w:rFonts w:ascii="宋体" w:hAnsi="宋体"/>
          <w:sz w:val="24"/>
          <w:szCs w:val="24"/>
        </w:rPr>
        <w:t>医</w:t>
      </w:r>
      <w:proofErr w:type="gramEnd"/>
      <w:r w:rsidRPr="00762BBC">
        <w:rPr>
          <w:rFonts w:ascii="宋体" w:hAnsi="宋体"/>
          <w:sz w:val="24"/>
          <w:szCs w:val="24"/>
        </w:rPr>
        <w:t>的模式逐渐淡化，这就要求药学人员从原先被动的、供应型的、以 “物”为主的服务模式逐渐向主动的、服务型的、以 “人”为主的服务模式转型</w:t>
      </w:r>
      <w:r w:rsidRPr="002056A9">
        <w:rPr>
          <w:rFonts w:ascii="宋体" w:hAnsi="宋体" w:hint="eastAsia"/>
          <w:sz w:val="24"/>
          <w:szCs w:val="24"/>
          <w:vertAlign w:val="superscript"/>
        </w:rPr>
        <w:t>[</w:t>
      </w:r>
      <w:r w:rsidRPr="00E04D2E">
        <w:rPr>
          <w:rFonts w:cs="Times New Roman"/>
          <w:sz w:val="24"/>
          <w:szCs w:val="24"/>
          <w:vertAlign w:val="superscript"/>
        </w:rPr>
        <w:t>4</w:t>
      </w:r>
      <w:r w:rsidRPr="002056A9">
        <w:rPr>
          <w:rFonts w:ascii="宋体" w:hAnsi="宋体"/>
          <w:sz w:val="24"/>
          <w:szCs w:val="24"/>
          <w:vertAlign w:val="superscript"/>
        </w:rPr>
        <w:t>]</w:t>
      </w:r>
      <w:r>
        <w:rPr>
          <w:rFonts w:ascii="宋体" w:hAnsi="宋体" w:hint="eastAsia"/>
          <w:sz w:val="24"/>
          <w:szCs w:val="24"/>
        </w:rPr>
        <w:t>。我院中药临床药师给自身的定位是协助临床医师用药，以临床为媒介，服务的对象是医护人员和患者，为其提供合理的用药建议，</w:t>
      </w:r>
      <w:r w:rsidRPr="00B87729">
        <w:rPr>
          <w:rFonts w:ascii="宋体" w:hAnsi="宋体" w:hint="eastAsia"/>
          <w:sz w:val="24"/>
          <w:szCs w:val="24"/>
        </w:rPr>
        <w:t>确保中</w:t>
      </w:r>
      <w:r w:rsidRPr="00B87729">
        <w:rPr>
          <w:rFonts w:ascii="宋体" w:hAnsi="宋体"/>
          <w:sz w:val="24"/>
          <w:szCs w:val="24"/>
        </w:rPr>
        <w:t>药</w:t>
      </w:r>
      <w:r>
        <w:rPr>
          <w:rFonts w:ascii="宋体" w:hAnsi="宋体" w:hint="eastAsia"/>
          <w:sz w:val="24"/>
          <w:szCs w:val="24"/>
        </w:rPr>
        <w:t>及其制剂是</w:t>
      </w:r>
      <w:r w:rsidRPr="00B87729">
        <w:rPr>
          <w:rFonts w:ascii="宋体" w:hAnsi="宋体"/>
          <w:sz w:val="24"/>
          <w:szCs w:val="24"/>
        </w:rPr>
        <w:t>在中医药</w:t>
      </w:r>
      <w:r>
        <w:rPr>
          <w:rFonts w:ascii="宋体" w:hAnsi="宋体" w:hint="eastAsia"/>
          <w:sz w:val="24"/>
          <w:szCs w:val="24"/>
        </w:rPr>
        <w:t>基础</w:t>
      </w:r>
      <w:r w:rsidRPr="00B87729">
        <w:rPr>
          <w:rFonts w:ascii="宋体" w:hAnsi="宋体"/>
          <w:sz w:val="24"/>
          <w:szCs w:val="24"/>
        </w:rPr>
        <w:t>理论指导下</w:t>
      </w:r>
      <w:proofErr w:type="gramStart"/>
      <w:r w:rsidRPr="00B87729">
        <w:rPr>
          <w:rFonts w:ascii="宋体" w:hAnsi="宋体"/>
          <w:sz w:val="24"/>
          <w:szCs w:val="24"/>
        </w:rPr>
        <w:t>辩证</w:t>
      </w:r>
      <w:r>
        <w:rPr>
          <w:rFonts w:ascii="宋体" w:hAnsi="宋体" w:hint="eastAsia"/>
          <w:sz w:val="24"/>
          <w:szCs w:val="24"/>
        </w:rPr>
        <w:t>论治</w:t>
      </w:r>
      <w:proofErr w:type="gramEnd"/>
      <w:r w:rsidRPr="00B87729">
        <w:rPr>
          <w:rFonts w:ascii="宋体" w:hAnsi="宋体"/>
          <w:sz w:val="24"/>
          <w:szCs w:val="24"/>
        </w:rPr>
        <w:t>使用，</w:t>
      </w:r>
      <w:r>
        <w:rPr>
          <w:rFonts w:ascii="宋体" w:hAnsi="宋体" w:hint="eastAsia"/>
          <w:sz w:val="24"/>
          <w:szCs w:val="24"/>
        </w:rPr>
        <w:t>保证</w:t>
      </w:r>
      <w:r w:rsidRPr="00B87729">
        <w:rPr>
          <w:rFonts w:ascii="宋体" w:hAnsi="宋体"/>
          <w:sz w:val="24"/>
          <w:szCs w:val="24"/>
        </w:rPr>
        <w:t>临床</w:t>
      </w:r>
      <w:r>
        <w:rPr>
          <w:rFonts w:ascii="宋体" w:hAnsi="宋体" w:hint="eastAsia"/>
          <w:sz w:val="24"/>
          <w:szCs w:val="24"/>
        </w:rPr>
        <w:t>的合理、有效、安全用药。</w:t>
      </w:r>
    </w:p>
    <w:p w:rsidR="005B5FEC" w:rsidRPr="00E1075E" w:rsidRDefault="005B5FEC" w:rsidP="005B5FEC">
      <w:pPr>
        <w:pStyle w:val="af2"/>
        <w:numPr>
          <w:ilvl w:val="1"/>
          <w:numId w:val="6"/>
        </w:numPr>
        <w:spacing w:line="360" w:lineRule="auto"/>
        <w:ind w:firstLineChars="0"/>
        <w:jc w:val="left"/>
        <w:rPr>
          <w:rFonts w:ascii="宋体" w:eastAsia="宋体" w:hAnsi="宋体"/>
          <w:sz w:val="24"/>
          <w:szCs w:val="24"/>
        </w:rPr>
      </w:pPr>
      <w:r>
        <w:rPr>
          <w:rFonts w:ascii="宋体" w:eastAsia="宋体" w:hAnsi="宋体" w:hint="eastAsia"/>
          <w:sz w:val="24"/>
          <w:szCs w:val="24"/>
        </w:rPr>
        <w:t xml:space="preserve"> </w:t>
      </w:r>
      <w:r w:rsidRPr="00E1075E">
        <w:rPr>
          <w:rFonts w:ascii="宋体" w:eastAsia="宋体" w:hAnsi="宋体" w:hint="eastAsia"/>
          <w:sz w:val="24"/>
          <w:szCs w:val="24"/>
        </w:rPr>
        <w:t>关于如何提升中药临床药师的业务素质问题</w:t>
      </w:r>
    </w:p>
    <w:p w:rsidR="005B5FEC" w:rsidRDefault="005B5FEC" w:rsidP="005B5FEC">
      <w:pPr>
        <w:spacing w:line="360" w:lineRule="auto"/>
        <w:ind w:firstLineChars="200" w:firstLine="480"/>
        <w:jc w:val="left"/>
        <w:rPr>
          <w:rFonts w:ascii="宋体" w:hAnsi="宋体"/>
          <w:sz w:val="24"/>
          <w:szCs w:val="24"/>
        </w:rPr>
      </w:pPr>
      <w:r>
        <w:rPr>
          <w:rFonts w:ascii="宋体" w:hAnsi="宋体" w:hint="eastAsia"/>
          <w:sz w:val="24"/>
          <w:szCs w:val="24"/>
        </w:rPr>
        <w:t>中药临床</w:t>
      </w:r>
      <w:r w:rsidRPr="00F430F6">
        <w:rPr>
          <w:rFonts w:ascii="宋体" w:hAnsi="宋体" w:hint="eastAsia"/>
          <w:sz w:val="24"/>
          <w:szCs w:val="24"/>
        </w:rPr>
        <w:t>药师</w:t>
      </w:r>
      <w:r>
        <w:rPr>
          <w:rFonts w:ascii="宋体" w:hAnsi="宋体" w:hint="eastAsia"/>
          <w:sz w:val="24"/>
          <w:szCs w:val="24"/>
        </w:rPr>
        <w:t>具备丰富</w:t>
      </w:r>
      <w:r w:rsidRPr="00F430F6">
        <w:rPr>
          <w:rFonts w:ascii="宋体" w:hAnsi="宋体" w:hint="eastAsia"/>
          <w:sz w:val="24"/>
          <w:szCs w:val="24"/>
        </w:rPr>
        <w:t>的</w:t>
      </w:r>
      <w:r>
        <w:rPr>
          <w:rFonts w:ascii="宋体" w:hAnsi="宋体" w:hint="eastAsia"/>
          <w:sz w:val="24"/>
          <w:szCs w:val="24"/>
        </w:rPr>
        <w:t>知识结构、过硬的业务</w:t>
      </w:r>
      <w:r w:rsidRPr="00F430F6">
        <w:rPr>
          <w:rFonts w:ascii="宋体" w:hAnsi="宋体"/>
          <w:sz w:val="24"/>
          <w:szCs w:val="24"/>
        </w:rPr>
        <w:t>素质</w:t>
      </w:r>
      <w:r>
        <w:rPr>
          <w:rFonts w:ascii="宋体" w:hAnsi="宋体" w:hint="eastAsia"/>
          <w:sz w:val="24"/>
          <w:szCs w:val="24"/>
        </w:rPr>
        <w:t>是</w:t>
      </w:r>
      <w:r w:rsidRPr="00F430F6">
        <w:rPr>
          <w:rFonts w:ascii="宋体" w:hAnsi="宋体" w:hint="eastAsia"/>
          <w:sz w:val="24"/>
          <w:szCs w:val="24"/>
        </w:rPr>
        <w:t>临床药学服务工作</w:t>
      </w:r>
      <w:r>
        <w:rPr>
          <w:rFonts w:ascii="宋体" w:hAnsi="宋体" w:hint="eastAsia"/>
          <w:sz w:val="24"/>
          <w:szCs w:val="24"/>
        </w:rPr>
        <w:t>能够</w:t>
      </w:r>
      <w:r w:rsidRPr="00F430F6">
        <w:rPr>
          <w:rFonts w:ascii="宋体" w:hAnsi="宋体" w:hint="eastAsia"/>
          <w:sz w:val="24"/>
          <w:szCs w:val="24"/>
        </w:rPr>
        <w:t>有效开展</w:t>
      </w:r>
      <w:r>
        <w:rPr>
          <w:rFonts w:ascii="宋体" w:hAnsi="宋体" w:hint="eastAsia"/>
          <w:sz w:val="24"/>
          <w:szCs w:val="24"/>
        </w:rPr>
        <w:t>的前提</w:t>
      </w:r>
      <w:r w:rsidRPr="00F430F6">
        <w:rPr>
          <w:rFonts w:ascii="宋体" w:hAnsi="宋体"/>
          <w:sz w:val="24"/>
          <w:szCs w:val="24"/>
        </w:rPr>
        <w:t>。部分医生在诊治疾病时一味按照患者情况</w:t>
      </w:r>
      <w:r>
        <w:rPr>
          <w:rFonts w:ascii="宋体" w:hAnsi="宋体" w:hint="eastAsia"/>
          <w:sz w:val="24"/>
          <w:szCs w:val="24"/>
        </w:rPr>
        <w:t>、</w:t>
      </w:r>
      <w:r w:rsidRPr="00F430F6">
        <w:rPr>
          <w:rFonts w:ascii="宋体" w:hAnsi="宋体"/>
          <w:sz w:val="24"/>
          <w:szCs w:val="24"/>
        </w:rPr>
        <w:t>临床经验及专业知识来开具处方</w:t>
      </w:r>
      <w:r>
        <w:rPr>
          <w:rFonts w:ascii="宋体" w:hAnsi="宋体" w:hint="eastAsia"/>
          <w:sz w:val="24"/>
          <w:szCs w:val="24"/>
        </w:rPr>
        <w:t>，</w:t>
      </w:r>
      <w:r w:rsidRPr="00F430F6">
        <w:rPr>
          <w:rFonts w:ascii="宋体" w:hAnsi="宋体"/>
          <w:sz w:val="24"/>
          <w:szCs w:val="24"/>
        </w:rPr>
        <w:t>患者对药物的不良反应和用药禁忌了解太少</w:t>
      </w:r>
      <w:r>
        <w:rPr>
          <w:rFonts w:ascii="宋体" w:hAnsi="宋体" w:hint="eastAsia"/>
          <w:sz w:val="24"/>
          <w:szCs w:val="24"/>
        </w:rPr>
        <w:t>，</w:t>
      </w:r>
      <w:r w:rsidRPr="00F430F6">
        <w:rPr>
          <w:rFonts w:ascii="宋体" w:hAnsi="宋体"/>
          <w:sz w:val="24"/>
          <w:szCs w:val="24"/>
        </w:rPr>
        <w:t>患者服药后没有达到理想效果则不利于医患关系的和谐</w:t>
      </w:r>
      <w:r w:rsidRPr="007244AE">
        <w:rPr>
          <w:rFonts w:ascii="宋体" w:hAnsi="宋体"/>
          <w:sz w:val="24"/>
          <w:szCs w:val="24"/>
          <w:vertAlign w:val="superscript"/>
        </w:rPr>
        <w:t>[</w:t>
      </w:r>
      <w:r w:rsidRPr="00AD2BD7">
        <w:rPr>
          <w:rFonts w:cs="Times New Roman"/>
          <w:sz w:val="24"/>
          <w:szCs w:val="24"/>
          <w:vertAlign w:val="superscript"/>
        </w:rPr>
        <w:t>5</w:t>
      </w:r>
      <w:r w:rsidRPr="007244AE">
        <w:rPr>
          <w:rFonts w:ascii="宋体" w:hAnsi="宋体"/>
          <w:sz w:val="24"/>
          <w:szCs w:val="24"/>
          <w:vertAlign w:val="superscript"/>
        </w:rPr>
        <w:t>]</w:t>
      </w:r>
      <w:r>
        <w:rPr>
          <w:rFonts w:ascii="宋体" w:hAnsi="宋体" w:hint="eastAsia"/>
          <w:sz w:val="24"/>
          <w:szCs w:val="24"/>
        </w:rPr>
        <w:t>。这就要求中药临床药师不断完善自身</w:t>
      </w:r>
      <w:r>
        <w:rPr>
          <w:rFonts w:ascii="宋体" w:hAnsi="宋体" w:hint="eastAsia"/>
          <w:sz w:val="24"/>
          <w:szCs w:val="24"/>
        </w:rPr>
        <w:lastRenderedPageBreak/>
        <w:t>的专业素养，及时发现、解决潜在的用药安全问题，最大限度地发挥药物临床疗效，对避免及减少药害事件，改善医患关系起着重要意义。我院拟从以下几个方面更新与强化中药临床药师的业务素质：（</w:t>
      </w:r>
      <w:r w:rsidRPr="001902EE">
        <w:rPr>
          <w:rFonts w:cs="Times New Roman"/>
          <w:sz w:val="24"/>
          <w:szCs w:val="24"/>
        </w:rPr>
        <w:t>1</w:t>
      </w:r>
      <w:r>
        <w:rPr>
          <w:rFonts w:ascii="宋体" w:hAnsi="宋体" w:hint="eastAsia"/>
          <w:sz w:val="24"/>
          <w:szCs w:val="24"/>
        </w:rPr>
        <w:t>）根据医院的实际情况，适当安排中药临床药师深入临床，配合临床医师的工作，在实践中提升业务水平。（</w:t>
      </w:r>
      <w:r w:rsidRPr="00BB4AFD">
        <w:rPr>
          <w:rFonts w:cs="Times New Roman" w:hint="eastAsia"/>
          <w:sz w:val="24"/>
          <w:szCs w:val="24"/>
        </w:rPr>
        <w:t>2</w:t>
      </w:r>
      <w:r>
        <w:rPr>
          <w:rFonts w:ascii="宋体" w:hAnsi="宋体" w:hint="eastAsia"/>
          <w:sz w:val="24"/>
          <w:szCs w:val="24"/>
        </w:rPr>
        <w:t>）积极参加药学组织，鼓励药师参加各类会议交流学习。（</w:t>
      </w:r>
      <w:r w:rsidRPr="000F5DE2">
        <w:rPr>
          <w:rFonts w:cs="Times New Roman" w:hint="eastAsia"/>
          <w:sz w:val="24"/>
          <w:szCs w:val="24"/>
        </w:rPr>
        <w:t>3</w:t>
      </w:r>
      <w:r>
        <w:rPr>
          <w:rFonts w:ascii="宋体" w:hAnsi="宋体" w:hint="eastAsia"/>
          <w:sz w:val="24"/>
          <w:szCs w:val="24"/>
        </w:rPr>
        <w:t>）定期为临床医师尤其西医师开办中药标本的实践教学，降低</w:t>
      </w:r>
      <w:proofErr w:type="gramStart"/>
      <w:r>
        <w:rPr>
          <w:rFonts w:ascii="宋体" w:hAnsi="宋体" w:hint="eastAsia"/>
          <w:sz w:val="24"/>
          <w:szCs w:val="24"/>
        </w:rPr>
        <w:t>医</w:t>
      </w:r>
      <w:proofErr w:type="gramEnd"/>
      <w:r>
        <w:rPr>
          <w:rFonts w:ascii="宋体" w:hAnsi="宋体" w:hint="eastAsia"/>
          <w:sz w:val="24"/>
          <w:szCs w:val="24"/>
        </w:rPr>
        <w:t>不知药导致的不良反应发生率。（</w:t>
      </w:r>
      <w:r w:rsidRPr="00751283">
        <w:rPr>
          <w:rFonts w:cs="Times New Roman"/>
          <w:sz w:val="24"/>
          <w:szCs w:val="24"/>
        </w:rPr>
        <w:t>4</w:t>
      </w:r>
      <w:r>
        <w:rPr>
          <w:rFonts w:ascii="宋体" w:hAnsi="宋体" w:hint="eastAsia"/>
          <w:sz w:val="24"/>
          <w:szCs w:val="24"/>
        </w:rPr>
        <w:t>）加大资金投入，</w:t>
      </w:r>
      <w:r w:rsidRPr="000A2BF3">
        <w:rPr>
          <w:rFonts w:ascii="宋体" w:hAnsi="宋体" w:hint="eastAsia"/>
          <w:sz w:val="24"/>
          <w:szCs w:val="24"/>
        </w:rPr>
        <w:t>用于</w:t>
      </w:r>
      <w:r>
        <w:rPr>
          <w:rFonts w:ascii="宋体" w:hAnsi="宋体" w:hint="eastAsia"/>
          <w:sz w:val="24"/>
          <w:szCs w:val="24"/>
        </w:rPr>
        <w:t>配置</w:t>
      </w:r>
      <w:r w:rsidRPr="000A2BF3">
        <w:rPr>
          <w:rFonts w:ascii="宋体" w:hAnsi="宋体" w:hint="eastAsia"/>
          <w:sz w:val="24"/>
          <w:szCs w:val="24"/>
        </w:rPr>
        <w:t>医学刊物与</w:t>
      </w:r>
      <w:r w:rsidRPr="000A2BF3">
        <w:rPr>
          <w:rFonts w:ascii="宋体" w:hAnsi="宋体"/>
          <w:sz w:val="24"/>
          <w:szCs w:val="24"/>
        </w:rPr>
        <w:t>医学资源，</w:t>
      </w:r>
      <w:r>
        <w:rPr>
          <w:rFonts w:ascii="宋体" w:hAnsi="宋体" w:hint="eastAsia"/>
          <w:sz w:val="24"/>
          <w:szCs w:val="24"/>
        </w:rPr>
        <w:t>供</w:t>
      </w:r>
      <w:r w:rsidRPr="000A2BF3">
        <w:rPr>
          <w:rFonts w:ascii="宋体" w:hAnsi="宋体"/>
          <w:sz w:val="24"/>
          <w:szCs w:val="24"/>
        </w:rPr>
        <w:t>医师</w:t>
      </w:r>
      <w:r>
        <w:rPr>
          <w:rFonts w:ascii="宋体" w:hAnsi="宋体" w:hint="eastAsia"/>
          <w:sz w:val="24"/>
          <w:szCs w:val="24"/>
        </w:rPr>
        <w:t>、药师及时了解</w:t>
      </w:r>
      <w:r w:rsidRPr="000A2BF3">
        <w:rPr>
          <w:rFonts w:ascii="宋体" w:hAnsi="宋体"/>
          <w:sz w:val="24"/>
          <w:szCs w:val="24"/>
        </w:rPr>
        <w:t>医学前沿动态</w:t>
      </w:r>
      <w:r>
        <w:rPr>
          <w:rFonts w:ascii="宋体" w:hAnsi="宋体" w:hint="eastAsia"/>
          <w:sz w:val="24"/>
          <w:szCs w:val="24"/>
        </w:rPr>
        <w:t>信息。（</w:t>
      </w:r>
      <w:r w:rsidRPr="002E18D8">
        <w:rPr>
          <w:rFonts w:cs="Times New Roman"/>
          <w:sz w:val="24"/>
          <w:szCs w:val="24"/>
        </w:rPr>
        <w:t>5</w:t>
      </w:r>
      <w:r>
        <w:rPr>
          <w:rFonts w:ascii="宋体" w:hAnsi="宋体" w:hint="eastAsia"/>
          <w:sz w:val="24"/>
          <w:szCs w:val="24"/>
        </w:rPr>
        <w:t>）开展思想教育工作，加强中药临床药师提升临床药学服务的意识。</w:t>
      </w:r>
    </w:p>
    <w:p w:rsidR="005B5FEC" w:rsidRPr="00E1075E" w:rsidRDefault="005B5FEC" w:rsidP="005B5FEC">
      <w:pPr>
        <w:pStyle w:val="3"/>
        <w:ind w:firstLine="422"/>
      </w:pPr>
      <w:r>
        <w:rPr>
          <w:rFonts w:hint="eastAsia"/>
        </w:rPr>
        <w:t xml:space="preserve">4 </w:t>
      </w:r>
      <w:r w:rsidRPr="00E1075E">
        <w:rPr>
          <w:rFonts w:hint="eastAsia"/>
        </w:rPr>
        <w:t>结论</w:t>
      </w:r>
    </w:p>
    <w:p w:rsidR="005B5FEC" w:rsidRDefault="005B5FEC" w:rsidP="005B5FEC">
      <w:pPr>
        <w:spacing w:line="360" w:lineRule="auto"/>
        <w:ind w:firstLineChars="200" w:firstLine="480"/>
        <w:jc w:val="left"/>
        <w:rPr>
          <w:rFonts w:ascii="宋体" w:hAnsi="宋体"/>
          <w:sz w:val="24"/>
          <w:szCs w:val="24"/>
        </w:rPr>
      </w:pPr>
      <w:r w:rsidRPr="003F1D2F">
        <w:rPr>
          <w:rFonts w:ascii="宋体" w:hAnsi="宋体" w:hint="eastAsia"/>
          <w:sz w:val="24"/>
          <w:szCs w:val="24"/>
        </w:rPr>
        <w:t>中药临床药学服务主要是指中药临床药师通过专</w:t>
      </w:r>
      <w:r w:rsidRPr="003F1D2F">
        <w:rPr>
          <w:rFonts w:ascii="宋体" w:hAnsi="宋体"/>
          <w:sz w:val="24"/>
          <w:szCs w:val="24"/>
        </w:rPr>
        <w:t>业技术对公众用药进行指导和监督</w:t>
      </w:r>
      <w:r>
        <w:rPr>
          <w:rFonts w:ascii="宋体" w:hAnsi="宋体" w:hint="eastAsia"/>
          <w:sz w:val="24"/>
          <w:szCs w:val="24"/>
        </w:rPr>
        <w:t>，</w:t>
      </w:r>
      <w:r w:rsidRPr="003F1D2F">
        <w:rPr>
          <w:rFonts w:ascii="宋体" w:hAnsi="宋体"/>
          <w:sz w:val="24"/>
          <w:szCs w:val="24"/>
        </w:rPr>
        <w:t>传统的药师工作</w:t>
      </w:r>
      <w:r>
        <w:rPr>
          <w:rFonts w:ascii="宋体" w:hAnsi="宋体" w:hint="eastAsia"/>
          <w:sz w:val="24"/>
          <w:szCs w:val="24"/>
        </w:rPr>
        <w:t>多</w:t>
      </w:r>
      <w:r w:rsidRPr="003F1D2F">
        <w:rPr>
          <w:rFonts w:ascii="宋体" w:hAnsi="宋体"/>
          <w:sz w:val="24"/>
          <w:szCs w:val="24"/>
        </w:rPr>
        <w:t>局限</w:t>
      </w:r>
      <w:r>
        <w:rPr>
          <w:rFonts w:ascii="宋体" w:hAnsi="宋体" w:hint="eastAsia"/>
          <w:sz w:val="24"/>
          <w:szCs w:val="24"/>
        </w:rPr>
        <w:t>在</w:t>
      </w:r>
      <w:r w:rsidRPr="003F1D2F">
        <w:rPr>
          <w:rFonts w:ascii="宋体" w:hAnsi="宋体"/>
          <w:sz w:val="24"/>
          <w:szCs w:val="24"/>
        </w:rPr>
        <w:t>药物调剂及供应</w:t>
      </w:r>
      <w:r>
        <w:rPr>
          <w:rFonts w:ascii="宋体" w:hAnsi="宋体" w:hint="eastAsia"/>
          <w:sz w:val="24"/>
          <w:szCs w:val="24"/>
        </w:rPr>
        <w:t>，</w:t>
      </w:r>
      <w:r w:rsidRPr="003F1D2F">
        <w:rPr>
          <w:rFonts w:ascii="宋体" w:hAnsi="宋体"/>
          <w:sz w:val="24"/>
          <w:szCs w:val="24"/>
        </w:rPr>
        <w:t>但是随着医疗水平的进步</w:t>
      </w:r>
      <w:r>
        <w:rPr>
          <w:rFonts w:ascii="宋体" w:hAnsi="宋体" w:hint="eastAsia"/>
          <w:sz w:val="24"/>
          <w:szCs w:val="24"/>
        </w:rPr>
        <w:t>，</w:t>
      </w:r>
      <w:r w:rsidRPr="003F1D2F">
        <w:rPr>
          <w:rFonts w:ascii="宋体" w:hAnsi="宋体"/>
          <w:sz w:val="24"/>
          <w:szCs w:val="24"/>
        </w:rPr>
        <w:t>中药学事业的发展对中药师以及中药临床药学服务模式提出了更高的要求</w:t>
      </w:r>
      <w:r w:rsidRPr="003F1D2F">
        <w:rPr>
          <w:rFonts w:ascii="宋体" w:hAnsi="宋体"/>
          <w:sz w:val="24"/>
          <w:szCs w:val="24"/>
          <w:vertAlign w:val="superscript"/>
        </w:rPr>
        <w:t>[</w:t>
      </w:r>
      <w:r w:rsidRPr="006C1FA5">
        <w:rPr>
          <w:rFonts w:cs="Times New Roman"/>
          <w:sz w:val="24"/>
          <w:szCs w:val="24"/>
          <w:vertAlign w:val="superscript"/>
        </w:rPr>
        <w:t>6-7</w:t>
      </w:r>
      <w:r w:rsidRPr="003F1D2F">
        <w:rPr>
          <w:rFonts w:ascii="宋体" w:hAnsi="宋体"/>
          <w:sz w:val="24"/>
          <w:szCs w:val="24"/>
          <w:vertAlign w:val="superscript"/>
        </w:rPr>
        <w:t>]</w:t>
      </w:r>
      <w:r w:rsidRPr="003F1D2F">
        <w:rPr>
          <w:rFonts w:ascii="宋体" w:hAnsi="宋体"/>
          <w:sz w:val="24"/>
          <w:szCs w:val="24"/>
        </w:rPr>
        <w:t>。</w:t>
      </w:r>
      <w:r>
        <w:rPr>
          <w:rFonts w:ascii="宋体" w:hAnsi="宋体" w:hint="eastAsia"/>
          <w:sz w:val="24"/>
          <w:szCs w:val="24"/>
        </w:rPr>
        <w:t>这就要求中药临床药师准确把握自身定位，积极</w:t>
      </w:r>
      <w:r w:rsidRPr="0031789D">
        <w:rPr>
          <w:rFonts w:ascii="宋体" w:hAnsi="宋体" w:hint="eastAsia"/>
          <w:sz w:val="24"/>
          <w:szCs w:val="24"/>
        </w:rPr>
        <w:t>参与临床查房</w:t>
      </w:r>
      <w:r>
        <w:rPr>
          <w:rFonts w:ascii="宋体" w:hAnsi="宋体" w:hint="eastAsia"/>
          <w:sz w:val="24"/>
          <w:szCs w:val="24"/>
        </w:rPr>
        <w:t>，</w:t>
      </w:r>
      <w:r w:rsidRPr="0031789D">
        <w:rPr>
          <w:rFonts w:ascii="宋体" w:hAnsi="宋体" w:hint="eastAsia"/>
          <w:sz w:val="24"/>
          <w:szCs w:val="24"/>
        </w:rPr>
        <w:t>开展中药处方点评</w:t>
      </w:r>
      <w:r>
        <w:rPr>
          <w:rFonts w:ascii="宋体" w:hAnsi="宋体" w:hint="eastAsia"/>
          <w:sz w:val="24"/>
          <w:szCs w:val="24"/>
        </w:rPr>
        <w:t>、中药不良反应监测上报工作，要清楚地认识自身存在的不足，在开展中药临床药学服务工作的同时，通过不断积累经验，持续提升自身专业素养，</w:t>
      </w:r>
      <w:r w:rsidRPr="00C60284">
        <w:rPr>
          <w:rFonts w:ascii="宋体" w:hAnsi="宋体" w:hint="eastAsia"/>
          <w:sz w:val="24"/>
          <w:szCs w:val="24"/>
        </w:rPr>
        <w:t>对临床不合理</w:t>
      </w:r>
      <w:r>
        <w:rPr>
          <w:rFonts w:ascii="宋体" w:hAnsi="宋体" w:hint="eastAsia"/>
          <w:sz w:val="24"/>
          <w:szCs w:val="24"/>
        </w:rPr>
        <w:t>用药</w:t>
      </w:r>
      <w:r w:rsidRPr="00C60284">
        <w:rPr>
          <w:rFonts w:ascii="宋体" w:hAnsi="宋体" w:hint="eastAsia"/>
          <w:sz w:val="24"/>
          <w:szCs w:val="24"/>
        </w:rPr>
        <w:t>进行</w:t>
      </w:r>
      <w:r w:rsidRPr="00C60284">
        <w:rPr>
          <w:rFonts w:ascii="宋体" w:hAnsi="宋体"/>
          <w:sz w:val="24"/>
          <w:szCs w:val="24"/>
        </w:rPr>
        <w:t>干预</w:t>
      </w:r>
      <w:r>
        <w:rPr>
          <w:rFonts w:ascii="宋体" w:hAnsi="宋体" w:hint="eastAsia"/>
          <w:sz w:val="24"/>
          <w:szCs w:val="24"/>
        </w:rPr>
        <w:t>，提高医疗服务质量。</w:t>
      </w:r>
    </w:p>
    <w:p w:rsidR="005B5FEC" w:rsidRDefault="005B5FEC" w:rsidP="005B5FEC">
      <w:pPr>
        <w:spacing w:line="360" w:lineRule="auto"/>
        <w:jc w:val="left"/>
        <w:rPr>
          <w:rFonts w:ascii="宋体" w:hAnsi="宋体"/>
          <w:sz w:val="24"/>
          <w:szCs w:val="24"/>
        </w:rPr>
      </w:pPr>
    </w:p>
    <w:p w:rsidR="005B5FEC" w:rsidRDefault="005B5FEC" w:rsidP="005B5FEC">
      <w:pPr>
        <w:pStyle w:val="3"/>
        <w:ind w:firstLine="422"/>
      </w:pPr>
      <w:r>
        <w:rPr>
          <w:rFonts w:hint="eastAsia"/>
        </w:rPr>
        <w:t>参考文献</w:t>
      </w:r>
    </w:p>
    <w:p w:rsidR="005B5FEC" w:rsidRPr="005B5FEC" w:rsidRDefault="005B5FEC" w:rsidP="005B5FEC">
      <w:pPr>
        <w:spacing w:line="360" w:lineRule="auto"/>
        <w:jc w:val="left"/>
        <w:rPr>
          <w:rFonts w:cs="Times New Roman"/>
          <w:sz w:val="20"/>
          <w:szCs w:val="24"/>
        </w:rPr>
      </w:pPr>
      <w:r w:rsidRPr="005B5FEC">
        <w:rPr>
          <w:rFonts w:cs="Times New Roman"/>
          <w:sz w:val="20"/>
          <w:szCs w:val="24"/>
        </w:rPr>
        <w:t>[1]</w:t>
      </w:r>
      <w:r w:rsidRPr="005B5FEC">
        <w:rPr>
          <w:rFonts w:cs="Times New Roman" w:hint="eastAsia"/>
          <w:sz w:val="20"/>
          <w:szCs w:val="24"/>
        </w:rPr>
        <w:t xml:space="preserve"> </w:t>
      </w:r>
      <w:r w:rsidRPr="005B5FEC">
        <w:rPr>
          <w:rFonts w:ascii="宋体" w:hAnsi="宋体" w:hint="eastAsia"/>
          <w:sz w:val="20"/>
          <w:szCs w:val="24"/>
        </w:rPr>
        <w:t>刘宪军，赵志刚</w:t>
      </w:r>
      <w:r w:rsidRPr="005B5FEC">
        <w:rPr>
          <w:rFonts w:ascii="宋体" w:hAnsi="宋体"/>
          <w:sz w:val="20"/>
          <w:szCs w:val="24"/>
        </w:rPr>
        <w:t>.</w:t>
      </w:r>
      <w:r w:rsidRPr="005B5FEC">
        <w:rPr>
          <w:rFonts w:ascii="宋体" w:hAnsi="宋体" w:hint="eastAsia"/>
          <w:sz w:val="20"/>
          <w:szCs w:val="24"/>
        </w:rPr>
        <w:t>我国处方点评制度剖析与思考[</w:t>
      </w:r>
      <w:r w:rsidRPr="005B5FEC">
        <w:rPr>
          <w:rFonts w:cs="Times New Roman"/>
          <w:sz w:val="20"/>
          <w:szCs w:val="24"/>
        </w:rPr>
        <w:t>J</w:t>
      </w:r>
      <w:r w:rsidRPr="005B5FEC">
        <w:rPr>
          <w:rFonts w:ascii="宋体" w:hAnsi="宋体"/>
          <w:sz w:val="20"/>
          <w:szCs w:val="24"/>
        </w:rPr>
        <w:t>].药品评价，</w:t>
      </w:r>
      <w:r w:rsidRPr="005B5FEC">
        <w:rPr>
          <w:rFonts w:cs="Times New Roman"/>
          <w:sz w:val="20"/>
          <w:szCs w:val="24"/>
        </w:rPr>
        <w:t>2012</w:t>
      </w:r>
      <w:r w:rsidRPr="005B5FEC">
        <w:rPr>
          <w:rFonts w:ascii="宋体" w:hAnsi="宋体"/>
          <w:sz w:val="20"/>
          <w:szCs w:val="24"/>
        </w:rPr>
        <w:t>，</w:t>
      </w:r>
      <w:r w:rsidRPr="005B5FEC">
        <w:rPr>
          <w:rFonts w:cs="Times New Roman" w:hint="eastAsia"/>
          <w:sz w:val="20"/>
          <w:szCs w:val="24"/>
        </w:rPr>
        <w:t>9(</w:t>
      </w:r>
      <w:r w:rsidRPr="005B5FEC">
        <w:rPr>
          <w:rFonts w:cs="Times New Roman"/>
          <w:sz w:val="20"/>
          <w:szCs w:val="24"/>
        </w:rPr>
        <w:t>11):12-15.</w:t>
      </w:r>
    </w:p>
    <w:p w:rsidR="005B5FEC" w:rsidRPr="005B5FEC" w:rsidRDefault="005B5FEC" w:rsidP="005B5FEC">
      <w:pPr>
        <w:spacing w:line="360" w:lineRule="auto"/>
        <w:jc w:val="left"/>
        <w:rPr>
          <w:rFonts w:cs="Times New Roman"/>
          <w:sz w:val="20"/>
          <w:szCs w:val="24"/>
        </w:rPr>
      </w:pPr>
      <w:r w:rsidRPr="005B5FEC">
        <w:rPr>
          <w:rFonts w:cs="Times New Roman" w:hint="eastAsia"/>
          <w:sz w:val="20"/>
          <w:szCs w:val="24"/>
        </w:rPr>
        <w:t>[2</w:t>
      </w:r>
      <w:r w:rsidRPr="005B5FEC">
        <w:rPr>
          <w:rFonts w:cs="Times New Roman"/>
          <w:sz w:val="20"/>
          <w:szCs w:val="24"/>
        </w:rPr>
        <w:t xml:space="preserve">] </w:t>
      </w:r>
      <w:r w:rsidRPr="005B5FEC">
        <w:rPr>
          <w:rFonts w:cs="Times New Roman" w:hint="eastAsia"/>
          <w:sz w:val="20"/>
          <w:szCs w:val="24"/>
        </w:rPr>
        <w:t>李学林，</w:t>
      </w:r>
      <w:proofErr w:type="gramStart"/>
      <w:r w:rsidRPr="005B5FEC">
        <w:rPr>
          <w:rFonts w:cs="Times New Roman" w:hint="eastAsia"/>
          <w:sz w:val="20"/>
          <w:szCs w:val="24"/>
        </w:rPr>
        <w:t>吴庆光</w:t>
      </w:r>
      <w:proofErr w:type="gramEnd"/>
      <w:r w:rsidRPr="005B5FEC">
        <w:rPr>
          <w:rFonts w:cs="Times New Roman" w:hint="eastAsia"/>
          <w:sz w:val="20"/>
          <w:szCs w:val="24"/>
        </w:rPr>
        <w:t>.</w:t>
      </w:r>
      <w:r w:rsidRPr="005B5FEC">
        <w:rPr>
          <w:rFonts w:cs="Times New Roman" w:hint="eastAsia"/>
          <w:sz w:val="20"/>
          <w:szCs w:val="24"/>
        </w:rPr>
        <w:t>中药处方点评（中药饮片临床应用指导原则部分）</w:t>
      </w:r>
      <w:r w:rsidRPr="005B5FEC">
        <w:rPr>
          <w:rFonts w:cs="Times New Roman"/>
          <w:sz w:val="20"/>
          <w:szCs w:val="24"/>
        </w:rPr>
        <w:t>.</w:t>
      </w:r>
      <w:r w:rsidRPr="005B5FEC">
        <w:rPr>
          <w:rFonts w:cs="Times New Roman" w:hint="eastAsia"/>
          <w:sz w:val="20"/>
          <w:szCs w:val="24"/>
        </w:rPr>
        <w:t>北京：人民卫生出版社，</w:t>
      </w:r>
      <w:r w:rsidRPr="005B5FEC">
        <w:rPr>
          <w:rFonts w:cs="Times New Roman" w:hint="eastAsia"/>
          <w:sz w:val="20"/>
          <w:szCs w:val="24"/>
        </w:rPr>
        <w:t>2</w:t>
      </w:r>
      <w:r w:rsidRPr="005B5FEC">
        <w:rPr>
          <w:rFonts w:cs="Times New Roman"/>
          <w:sz w:val="20"/>
          <w:szCs w:val="24"/>
        </w:rPr>
        <w:t>016</w:t>
      </w:r>
    </w:p>
    <w:p w:rsidR="005B5FEC" w:rsidRPr="005B5FEC" w:rsidRDefault="005B5FEC" w:rsidP="005B5FEC">
      <w:pPr>
        <w:spacing w:line="360" w:lineRule="auto"/>
        <w:jc w:val="left"/>
        <w:rPr>
          <w:rFonts w:ascii="宋体" w:hAnsi="宋体"/>
          <w:sz w:val="20"/>
          <w:szCs w:val="24"/>
        </w:rPr>
      </w:pPr>
      <w:r w:rsidRPr="005B5FEC">
        <w:rPr>
          <w:rFonts w:cs="Times New Roman" w:hint="eastAsia"/>
          <w:sz w:val="20"/>
          <w:szCs w:val="24"/>
        </w:rPr>
        <w:t>[3</w:t>
      </w:r>
      <w:r w:rsidRPr="005B5FEC">
        <w:rPr>
          <w:rFonts w:cs="Times New Roman"/>
          <w:sz w:val="20"/>
          <w:szCs w:val="24"/>
        </w:rPr>
        <w:t>]</w:t>
      </w:r>
      <w:r w:rsidRPr="005B5FEC">
        <w:rPr>
          <w:rFonts w:hint="eastAsia"/>
          <w:sz w:val="16"/>
        </w:rPr>
        <w:t xml:space="preserve"> </w:t>
      </w:r>
      <w:r w:rsidRPr="005B5FEC">
        <w:rPr>
          <w:rFonts w:cs="Times New Roman" w:hint="eastAsia"/>
          <w:sz w:val="20"/>
          <w:szCs w:val="24"/>
        </w:rPr>
        <w:t>杨帆</w:t>
      </w:r>
      <w:r w:rsidRPr="005B5FEC">
        <w:rPr>
          <w:rFonts w:cs="Times New Roman"/>
          <w:sz w:val="20"/>
          <w:szCs w:val="24"/>
        </w:rPr>
        <w:t>.</w:t>
      </w:r>
      <w:r w:rsidRPr="005B5FEC">
        <w:rPr>
          <w:rFonts w:cs="Times New Roman" w:hint="eastAsia"/>
          <w:sz w:val="20"/>
          <w:szCs w:val="24"/>
        </w:rPr>
        <w:t>基于临床药学服务工作中存在的问题的相关思考</w:t>
      </w:r>
      <w:r w:rsidRPr="005B5FEC">
        <w:rPr>
          <w:rFonts w:ascii="宋体" w:hAnsi="宋体" w:hint="eastAsia"/>
          <w:sz w:val="20"/>
          <w:szCs w:val="24"/>
        </w:rPr>
        <w:t>[</w:t>
      </w:r>
      <w:r w:rsidRPr="005B5FEC">
        <w:rPr>
          <w:rFonts w:cs="Times New Roman"/>
          <w:sz w:val="20"/>
          <w:szCs w:val="24"/>
        </w:rPr>
        <w:t>J</w:t>
      </w:r>
      <w:r w:rsidRPr="005B5FEC">
        <w:rPr>
          <w:rFonts w:ascii="宋体" w:hAnsi="宋体"/>
          <w:sz w:val="20"/>
          <w:szCs w:val="24"/>
        </w:rPr>
        <w:t>].</w:t>
      </w:r>
      <w:r w:rsidRPr="005B5FEC">
        <w:rPr>
          <w:rFonts w:ascii="宋体" w:hAnsi="宋体" w:hint="eastAsia"/>
          <w:sz w:val="20"/>
          <w:szCs w:val="24"/>
        </w:rPr>
        <w:t>医疗卫生管理，</w:t>
      </w:r>
      <w:r w:rsidRPr="005B5FEC">
        <w:rPr>
          <w:rFonts w:cs="Times New Roman"/>
          <w:sz w:val="20"/>
          <w:szCs w:val="24"/>
        </w:rPr>
        <w:t>201</w:t>
      </w:r>
      <w:r w:rsidRPr="005B5FEC">
        <w:rPr>
          <w:rFonts w:cs="Times New Roman" w:hint="eastAsia"/>
          <w:sz w:val="20"/>
          <w:szCs w:val="24"/>
        </w:rPr>
        <w:t>7</w:t>
      </w:r>
      <w:r w:rsidRPr="005B5FEC">
        <w:rPr>
          <w:rFonts w:ascii="宋体" w:hAnsi="宋体"/>
          <w:sz w:val="20"/>
          <w:szCs w:val="24"/>
        </w:rPr>
        <w:t>，</w:t>
      </w:r>
      <w:r w:rsidRPr="005B5FEC">
        <w:rPr>
          <w:rFonts w:cs="Times New Roman" w:hint="eastAsia"/>
          <w:sz w:val="20"/>
          <w:szCs w:val="24"/>
        </w:rPr>
        <w:t>185-186</w:t>
      </w:r>
      <w:r w:rsidRPr="005B5FEC">
        <w:rPr>
          <w:rFonts w:ascii="宋体" w:hAnsi="宋体"/>
          <w:sz w:val="20"/>
          <w:szCs w:val="24"/>
        </w:rPr>
        <w:t>.</w:t>
      </w:r>
    </w:p>
    <w:p w:rsidR="005B5FEC" w:rsidRPr="005B5FEC" w:rsidRDefault="005B5FEC" w:rsidP="005B5FEC">
      <w:pPr>
        <w:spacing w:line="360" w:lineRule="auto"/>
        <w:jc w:val="left"/>
        <w:rPr>
          <w:rFonts w:cs="Times New Roman"/>
          <w:sz w:val="20"/>
          <w:szCs w:val="24"/>
        </w:rPr>
      </w:pPr>
      <w:r w:rsidRPr="005B5FEC">
        <w:rPr>
          <w:rFonts w:cs="Times New Roman" w:hint="eastAsia"/>
          <w:sz w:val="20"/>
          <w:szCs w:val="24"/>
        </w:rPr>
        <w:t>[4</w:t>
      </w:r>
      <w:r w:rsidRPr="005B5FEC">
        <w:rPr>
          <w:rFonts w:cs="Times New Roman"/>
          <w:sz w:val="20"/>
          <w:szCs w:val="24"/>
        </w:rPr>
        <w:t xml:space="preserve">] </w:t>
      </w:r>
      <w:r w:rsidRPr="005B5FEC">
        <w:rPr>
          <w:rFonts w:cs="Times New Roman" w:hint="eastAsia"/>
          <w:sz w:val="20"/>
          <w:szCs w:val="24"/>
        </w:rPr>
        <w:t>庄伟等</w:t>
      </w:r>
      <w:r w:rsidRPr="005B5FEC">
        <w:rPr>
          <w:rFonts w:cs="Times New Roman"/>
          <w:sz w:val="20"/>
          <w:szCs w:val="24"/>
        </w:rPr>
        <w:t>.</w:t>
      </w:r>
      <w:r w:rsidRPr="005B5FEC">
        <w:rPr>
          <w:rFonts w:cs="Times New Roman" w:hint="eastAsia"/>
          <w:sz w:val="20"/>
          <w:szCs w:val="24"/>
        </w:rPr>
        <w:t>我院临床中药师药学服务模式探索</w:t>
      </w:r>
      <w:r w:rsidRPr="005B5FEC">
        <w:rPr>
          <w:rFonts w:ascii="宋体" w:hAnsi="宋体" w:hint="eastAsia"/>
          <w:sz w:val="20"/>
          <w:szCs w:val="24"/>
        </w:rPr>
        <w:t>[</w:t>
      </w:r>
      <w:r w:rsidRPr="005B5FEC">
        <w:rPr>
          <w:rFonts w:cs="Times New Roman"/>
          <w:sz w:val="20"/>
          <w:szCs w:val="24"/>
        </w:rPr>
        <w:t>J</w:t>
      </w:r>
      <w:r w:rsidRPr="005B5FEC">
        <w:rPr>
          <w:rFonts w:ascii="宋体" w:hAnsi="宋体"/>
          <w:sz w:val="20"/>
          <w:szCs w:val="24"/>
        </w:rPr>
        <w:t>].</w:t>
      </w:r>
      <w:r w:rsidRPr="005B5FEC">
        <w:rPr>
          <w:rFonts w:ascii="宋体" w:hAnsi="宋体" w:hint="eastAsia"/>
          <w:sz w:val="20"/>
          <w:szCs w:val="24"/>
        </w:rPr>
        <w:t>北京中医药，</w:t>
      </w:r>
      <w:r w:rsidRPr="005B5FEC">
        <w:rPr>
          <w:rFonts w:cs="Times New Roman"/>
          <w:sz w:val="20"/>
          <w:szCs w:val="24"/>
        </w:rPr>
        <w:t>201</w:t>
      </w:r>
      <w:r w:rsidRPr="005B5FEC">
        <w:rPr>
          <w:rFonts w:cs="Times New Roman" w:hint="eastAsia"/>
          <w:sz w:val="20"/>
          <w:szCs w:val="24"/>
        </w:rPr>
        <w:t>7</w:t>
      </w:r>
      <w:r w:rsidRPr="005B5FEC">
        <w:rPr>
          <w:rFonts w:ascii="宋体" w:hAnsi="宋体"/>
          <w:sz w:val="20"/>
          <w:szCs w:val="24"/>
        </w:rPr>
        <w:t>，</w:t>
      </w:r>
      <w:r w:rsidRPr="005B5FEC">
        <w:rPr>
          <w:rFonts w:cs="Times New Roman" w:hint="eastAsia"/>
          <w:sz w:val="20"/>
          <w:szCs w:val="24"/>
        </w:rPr>
        <w:t>3</w:t>
      </w:r>
      <w:r w:rsidRPr="005B5FEC">
        <w:rPr>
          <w:rFonts w:cs="Times New Roman"/>
          <w:sz w:val="20"/>
          <w:szCs w:val="24"/>
        </w:rPr>
        <w:t>6(2):169-172.</w:t>
      </w:r>
    </w:p>
    <w:p w:rsidR="005B5FEC" w:rsidRPr="005B5FEC" w:rsidRDefault="005B5FEC" w:rsidP="005B5FEC">
      <w:pPr>
        <w:spacing w:line="360" w:lineRule="auto"/>
        <w:jc w:val="left"/>
        <w:rPr>
          <w:rFonts w:cs="Times New Roman"/>
          <w:sz w:val="20"/>
          <w:szCs w:val="24"/>
        </w:rPr>
      </w:pPr>
      <w:r w:rsidRPr="005B5FEC">
        <w:rPr>
          <w:rFonts w:cs="Times New Roman" w:hint="eastAsia"/>
          <w:sz w:val="20"/>
          <w:szCs w:val="24"/>
        </w:rPr>
        <w:t>[5</w:t>
      </w:r>
      <w:r w:rsidRPr="005B5FEC">
        <w:rPr>
          <w:rFonts w:cs="Times New Roman"/>
          <w:sz w:val="20"/>
          <w:szCs w:val="24"/>
        </w:rPr>
        <w:t xml:space="preserve">] </w:t>
      </w:r>
      <w:r w:rsidRPr="005B5FEC">
        <w:rPr>
          <w:rFonts w:cs="Times New Roman"/>
          <w:sz w:val="20"/>
          <w:szCs w:val="24"/>
        </w:rPr>
        <w:t>李刚</w:t>
      </w:r>
      <w:r w:rsidRPr="005B5FEC">
        <w:rPr>
          <w:rFonts w:cs="Times New Roman"/>
          <w:sz w:val="20"/>
          <w:szCs w:val="24"/>
        </w:rPr>
        <w:t>.</w:t>
      </w:r>
      <w:r w:rsidRPr="005B5FEC">
        <w:rPr>
          <w:rFonts w:cs="Times New Roman"/>
          <w:sz w:val="20"/>
          <w:szCs w:val="24"/>
        </w:rPr>
        <w:t>临床药师开展药学服务病例分析</w:t>
      </w:r>
      <w:r w:rsidRPr="005B5FEC">
        <w:rPr>
          <w:rFonts w:ascii="宋体" w:hAnsi="宋体" w:hint="eastAsia"/>
          <w:sz w:val="20"/>
          <w:szCs w:val="24"/>
        </w:rPr>
        <w:t>[</w:t>
      </w:r>
      <w:r w:rsidRPr="005B5FEC">
        <w:rPr>
          <w:rFonts w:cs="Times New Roman"/>
          <w:sz w:val="20"/>
          <w:szCs w:val="24"/>
        </w:rPr>
        <w:t>J</w:t>
      </w:r>
      <w:r w:rsidRPr="005B5FEC">
        <w:rPr>
          <w:rFonts w:ascii="宋体" w:hAnsi="宋体"/>
          <w:sz w:val="20"/>
          <w:szCs w:val="24"/>
        </w:rPr>
        <w:t>].</w:t>
      </w:r>
      <w:r w:rsidRPr="005B5FEC">
        <w:rPr>
          <w:rFonts w:cs="Times New Roman"/>
          <w:sz w:val="20"/>
          <w:szCs w:val="24"/>
        </w:rPr>
        <w:t>中国药师</w:t>
      </w:r>
      <w:r w:rsidRPr="005B5FEC">
        <w:rPr>
          <w:rFonts w:cs="Times New Roman" w:hint="eastAsia"/>
          <w:sz w:val="20"/>
          <w:szCs w:val="24"/>
        </w:rPr>
        <w:t>，</w:t>
      </w:r>
      <w:r w:rsidRPr="005B5FEC">
        <w:rPr>
          <w:rFonts w:cs="Times New Roman"/>
          <w:sz w:val="20"/>
          <w:szCs w:val="24"/>
        </w:rPr>
        <w:t>2009</w:t>
      </w:r>
      <w:r w:rsidRPr="005B5FEC">
        <w:rPr>
          <w:rFonts w:cs="Times New Roman" w:hint="eastAsia"/>
          <w:sz w:val="20"/>
          <w:szCs w:val="24"/>
        </w:rPr>
        <w:t>，</w:t>
      </w:r>
      <w:r w:rsidRPr="005B5FEC">
        <w:rPr>
          <w:rFonts w:cs="Times New Roman"/>
          <w:sz w:val="20"/>
          <w:szCs w:val="24"/>
        </w:rPr>
        <w:t>12(9): 1298-1299.</w:t>
      </w:r>
    </w:p>
    <w:p w:rsidR="005B5FEC" w:rsidRPr="005B5FEC" w:rsidRDefault="005B5FEC" w:rsidP="005B5FEC">
      <w:pPr>
        <w:spacing w:line="360" w:lineRule="auto"/>
        <w:jc w:val="left"/>
        <w:rPr>
          <w:rFonts w:cs="Times New Roman"/>
          <w:sz w:val="20"/>
          <w:szCs w:val="24"/>
        </w:rPr>
      </w:pPr>
      <w:r w:rsidRPr="005B5FEC">
        <w:rPr>
          <w:rFonts w:cs="Times New Roman" w:hint="eastAsia"/>
          <w:sz w:val="20"/>
          <w:szCs w:val="24"/>
        </w:rPr>
        <w:lastRenderedPageBreak/>
        <w:t>[6</w:t>
      </w:r>
      <w:r w:rsidRPr="005B5FEC">
        <w:rPr>
          <w:rFonts w:cs="Times New Roman"/>
          <w:sz w:val="20"/>
          <w:szCs w:val="24"/>
        </w:rPr>
        <w:t>]</w:t>
      </w:r>
      <w:r w:rsidRPr="005B5FEC">
        <w:rPr>
          <w:rFonts w:hint="eastAsia"/>
          <w:sz w:val="16"/>
        </w:rPr>
        <w:t xml:space="preserve"> </w:t>
      </w:r>
      <w:r w:rsidRPr="005B5FEC">
        <w:rPr>
          <w:rFonts w:cs="Times New Roman" w:hint="eastAsia"/>
          <w:sz w:val="20"/>
          <w:szCs w:val="24"/>
        </w:rPr>
        <w:t>鲁姝，武莹，于静远等</w:t>
      </w:r>
      <w:r w:rsidRPr="005B5FEC">
        <w:rPr>
          <w:rFonts w:cs="Times New Roman"/>
          <w:sz w:val="20"/>
          <w:szCs w:val="24"/>
        </w:rPr>
        <w:t>.</w:t>
      </w:r>
      <w:r w:rsidRPr="005B5FEC">
        <w:rPr>
          <w:rFonts w:cs="Times New Roman"/>
          <w:sz w:val="20"/>
          <w:szCs w:val="24"/>
        </w:rPr>
        <w:t>脑梗死患者用药回顾性分析及临床药学服务模式的探讨</w:t>
      </w:r>
      <w:r w:rsidRPr="005B5FEC">
        <w:rPr>
          <w:rFonts w:ascii="宋体" w:hAnsi="宋体" w:hint="eastAsia"/>
          <w:sz w:val="20"/>
          <w:szCs w:val="24"/>
        </w:rPr>
        <w:t>[</w:t>
      </w:r>
      <w:r w:rsidRPr="005B5FEC">
        <w:rPr>
          <w:rFonts w:cs="Times New Roman"/>
          <w:sz w:val="20"/>
          <w:szCs w:val="24"/>
        </w:rPr>
        <w:t>J</w:t>
      </w:r>
      <w:r w:rsidRPr="005B5FEC">
        <w:rPr>
          <w:rFonts w:ascii="宋体" w:hAnsi="宋体"/>
          <w:sz w:val="20"/>
          <w:szCs w:val="24"/>
        </w:rPr>
        <w:t>].</w:t>
      </w:r>
      <w:r w:rsidRPr="005B5FEC">
        <w:rPr>
          <w:rFonts w:cs="Times New Roman"/>
          <w:sz w:val="20"/>
          <w:szCs w:val="24"/>
        </w:rPr>
        <w:t>临床药物治疗杂志</w:t>
      </w:r>
      <w:r w:rsidRPr="005B5FEC">
        <w:rPr>
          <w:rFonts w:cs="Times New Roman" w:hint="eastAsia"/>
          <w:sz w:val="20"/>
          <w:szCs w:val="24"/>
        </w:rPr>
        <w:t>，</w:t>
      </w:r>
      <w:r w:rsidRPr="005B5FEC">
        <w:rPr>
          <w:rFonts w:cs="Times New Roman"/>
          <w:sz w:val="20"/>
          <w:szCs w:val="24"/>
        </w:rPr>
        <w:t>2016</w:t>
      </w:r>
      <w:r w:rsidRPr="005B5FEC">
        <w:rPr>
          <w:rFonts w:cs="Times New Roman" w:hint="eastAsia"/>
          <w:sz w:val="20"/>
          <w:szCs w:val="24"/>
        </w:rPr>
        <w:t>，</w:t>
      </w:r>
      <w:r w:rsidRPr="005B5FEC">
        <w:rPr>
          <w:rFonts w:cs="Times New Roman"/>
          <w:sz w:val="20"/>
          <w:szCs w:val="24"/>
        </w:rPr>
        <w:t>14(4):73-77.</w:t>
      </w:r>
    </w:p>
    <w:p w:rsidR="005B5FEC" w:rsidRPr="00FA166D" w:rsidRDefault="005B5FEC" w:rsidP="00FA166D">
      <w:pPr>
        <w:pStyle w:val="a4"/>
        <w:ind w:firstLineChars="0" w:firstLine="0"/>
        <w:rPr>
          <w:rFonts w:cs="Times New Roman"/>
          <w:sz w:val="20"/>
          <w:szCs w:val="24"/>
        </w:rPr>
      </w:pPr>
      <w:r w:rsidRPr="005B5FEC">
        <w:rPr>
          <w:rFonts w:cs="Times New Roman" w:hint="eastAsia"/>
          <w:sz w:val="20"/>
          <w:szCs w:val="24"/>
        </w:rPr>
        <w:t>[7</w:t>
      </w:r>
      <w:r w:rsidRPr="005B5FEC">
        <w:rPr>
          <w:rFonts w:cs="Times New Roman"/>
          <w:sz w:val="20"/>
          <w:szCs w:val="24"/>
        </w:rPr>
        <w:t>]</w:t>
      </w:r>
      <w:r w:rsidRPr="005B5FEC">
        <w:rPr>
          <w:rFonts w:hint="eastAsia"/>
          <w:sz w:val="16"/>
        </w:rPr>
        <w:t xml:space="preserve"> </w:t>
      </w:r>
      <w:proofErr w:type="gramStart"/>
      <w:r w:rsidRPr="005B5FEC">
        <w:rPr>
          <w:rFonts w:cs="Times New Roman" w:hint="eastAsia"/>
          <w:sz w:val="20"/>
          <w:szCs w:val="24"/>
        </w:rPr>
        <w:t>黄爱招</w:t>
      </w:r>
      <w:proofErr w:type="gramEnd"/>
      <w:r w:rsidRPr="005B5FEC">
        <w:rPr>
          <w:rFonts w:cs="Times New Roman"/>
          <w:sz w:val="20"/>
          <w:szCs w:val="24"/>
        </w:rPr>
        <w:t>.</w:t>
      </w:r>
      <w:r w:rsidRPr="005B5FEC">
        <w:rPr>
          <w:rFonts w:cs="Times New Roman"/>
          <w:sz w:val="20"/>
          <w:szCs w:val="24"/>
        </w:rPr>
        <w:t>关于开展中药临床药学的分析与探讨</w:t>
      </w:r>
      <w:r w:rsidRPr="005B5FEC">
        <w:rPr>
          <w:rFonts w:ascii="宋体" w:hAnsi="宋体" w:hint="eastAsia"/>
          <w:sz w:val="20"/>
          <w:szCs w:val="24"/>
        </w:rPr>
        <w:t>[</w:t>
      </w:r>
      <w:r w:rsidRPr="005B5FEC">
        <w:rPr>
          <w:rFonts w:cs="Times New Roman"/>
          <w:sz w:val="20"/>
          <w:szCs w:val="24"/>
        </w:rPr>
        <w:t>J</w:t>
      </w:r>
      <w:r w:rsidRPr="005B5FEC">
        <w:rPr>
          <w:rFonts w:ascii="宋体" w:hAnsi="宋体"/>
          <w:sz w:val="20"/>
          <w:szCs w:val="24"/>
        </w:rPr>
        <w:t>].</w:t>
      </w:r>
      <w:r w:rsidRPr="005B5FEC">
        <w:rPr>
          <w:rFonts w:cs="Times New Roman"/>
          <w:sz w:val="20"/>
          <w:szCs w:val="24"/>
        </w:rPr>
        <w:t>中国医药指南</w:t>
      </w:r>
      <w:r w:rsidRPr="005B5FEC">
        <w:rPr>
          <w:rFonts w:cs="Times New Roman" w:hint="eastAsia"/>
          <w:sz w:val="20"/>
          <w:szCs w:val="24"/>
        </w:rPr>
        <w:t>，</w:t>
      </w:r>
      <w:r w:rsidRPr="005B5FEC">
        <w:rPr>
          <w:rFonts w:cs="Times New Roman"/>
          <w:sz w:val="20"/>
          <w:szCs w:val="24"/>
        </w:rPr>
        <w:t>2014</w:t>
      </w:r>
      <w:r w:rsidRPr="005B5FEC">
        <w:rPr>
          <w:rFonts w:cs="Times New Roman" w:hint="eastAsia"/>
          <w:sz w:val="20"/>
          <w:szCs w:val="24"/>
        </w:rPr>
        <w:t>，</w:t>
      </w:r>
      <w:r w:rsidRPr="005B5FEC">
        <w:rPr>
          <w:rFonts w:cs="Times New Roman"/>
          <w:sz w:val="20"/>
          <w:szCs w:val="24"/>
        </w:rPr>
        <w:t>11 (10):199-199</w:t>
      </w:r>
      <w:r w:rsidRPr="005B5FEC">
        <w:rPr>
          <w:rFonts w:cs="Times New Roman" w:hint="eastAsia"/>
          <w:sz w:val="20"/>
          <w:szCs w:val="24"/>
        </w:rPr>
        <w:t>，</w:t>
      </w:r>
      <w:r w:rsidRPr="005B5FEC">
        <w:rPr>
          <w:rFonts w:cs="Times New Roman"/>
          <w:sz w:val="20"/>
          <w:szCs w:val="24"/>
        </w:rPr>
        <w:t>200.</w:t>
      </w:r>
    </w:p>
    <w:p w:rsidR="005B5FEC" w:rsidRPr="008E0FF6" w:rsidRDefault="005B5FEC" w:rsidP="00FA166D">
      <w:pPr>
        <w:pStyle w:val="2"/>
        <w:rPr>
          <w:sz w:val="24"/>
        </w:rPr>
      </w:pPr>
      <w:bookmarkStart w:id="12" w:name="_Toc6476545"/>
      <w:r w:rsidRPr="008E0FF6">
        <w:rPr>
          <w:rFonts w:hint="eastAsia"/>
          <w:sz w:val="24"/>
        </w:rPr>
        <w:t>简述达比</w:t>
      </w:r>
      <w:proofErr w:type="gramStart"/>
      <w:r w:rsidRPr="008E0FF6">
        <w:rPr>
          <w:rFonts w:hint="eastAsia"/>
          <w:sz w:val="24"/>
        </w:rPr>
        <w:t>加群酯用于</w:t>
      </w:r>
      <w:proofErr w:type="gramEnd"/>
      <w:r w:rsidRPr="008E0FF6">
        <w:rPr>
          <w:rFonts w:hint="eastAsia"/>
          <w:sz w:val="24"/>
        </w:rPr>
        <w:t>非瓣膜</w:t>
      </w:r>
      <w:proofErr w:type="gramStart"/>
      <w:r w:rsidRPr="008E0FF6">
        <w:rPr>
          <w:rFonts w:hint="eastAsia"/>
          <w:sz w:val="24"/>
        </w:rPr>
        <w:t>性房颤患者</w:t>
      </w:r>
      <w:proofErr w:type="gramEnd"/>
      <w:r w:rsidRPr="008E0FF6">
        <w:rPr>
          <w:rFonts w:hint="eastAsia"/>
          <w:sz w:val="24"/>
        </w:rPr>
        <w:t>导致消化道出血的影响因素</w:t>
      </w:r>
      <w:bookmarkEnd w:id="12"/>
    </w:p>
    <w:p w:rsidR="005B5FEC" w:rsidRDefault="005B5FEC" w:rsidP="005B5FEC">
      <w:pPr>
        <w:jc w:val="center"/>
      </w:pPr>
      <w:r w:rsidRPr="008E0FF6">
        <w:rPr>
          <w:rFonts w:hint="eastAsia"/>
        </w:rPr>
        <w:t>病房药房</w:t>
      </w:r>
      <w:r w:rsidRPr="008E0FF6">
        <w:rPr>
          <w:rFonts w:hint="eastAsia"/>
        </w:rPr>
        <w:t xml:space="preserve"> </w:t>
      </w:r>
      <w:r w:rsidRPr="008E0FF6">
        <w:t xml:space="preserve">  </w:t>
      </w:r>
      <w:r w:rsidRPr="008E0FF6">
        <w:rPr>
          <w:rFonts w:hint="eastAsia"/>
        </w:rPr>
        <w:t>赵娅</w:t>
      </w:r>
    </w:p>
    <w:p w:rsidR="005B5FEC" w:rsidRPr="008E0FF6" w:rsidRDefault="005B5FEC" w:rsidP="005B5FEC">
      <w:pPr>
        <w:jc w:val="center"/>
      </w:pPr>
    </w:p>
    <w:p w:rsidR="005B5FEC" w:rsidRDefault="005B5FEC" w:rsidP="005B5FEC">
      <w:pPr>
        <w:ind w:firstLineChars="200" w:firstLine="420"/>
      </w:pPr>
      <w:r>
        <w:rPr>
          <w:rFonts w:hint="eastAsia"/>
        </w:rPr>
        <w:t>目前，脑血管病居我国死亡原因首位。其中，脑卒中是单病种致残率最高的疾病，具有高发病率、高致残率、高复发率和高死亡率等特点，给患者造成极大的健康危害和经济负担。</w:t>
      </w:r>
      <w:r>
        <w:rPr>
          <w:rFonts w:hint="eastAsia"/>
        </w:rPr>
        <w:t xml:space="preserve"> </w:t>
      </w:r>
      <w:r>
        <w:rPr>
          <w:rFonts w:hint="eastAsia"/>
        </w:rPr>
        <w:t>研究显示，非瓣膜性心房颤动（</w:t>
      </w:r>
      <w:r>
        <w:rPr>
          <w:rFonts w:hint="eastAsia"/>
        </w:rPr>
        <w:t xml:space="preserve">non- </w:t>
      </w:r>
      <w:proofErr w:type="spellStart"/>
      <w:r>
        <w:rPr>
          <w:rFonts w:hint="eastAsia"/>
        </w:rPr>
        <w:t>valvular</w:t>
      </w:r>
      <w:proofErr w:type="spellEnd"/>
      <w:r>
        <w:rPr>
          <w:rFonts w:hint="eastAsia"/>
        </w:rPr>
        <w:t xml:space="preserve"> atrial fibrillation</w:t>
      </w:r>
      <w:r>
        <w:rPr>
          <w:rFonts w:hint="eastAsia"/>
        </w:rPr>
        <w:t>，房颤）是引发脑卒中的独立危险因素，风险为正常人群的</w:t>
      </w:r>
      <w:r>
        <w:rPr>
          <w:rFonts w:hint="eastAsia"/>
        </w:rPr>
        <w:t>5</w:t>
      </w:r>
      <w:r>
        <w:rPr>
          <w:rFonts w:hint="eastAsia"/>
        </w:rPr>
        <w:t>倍。及时、有效地抗凝治疗是防治房</w:t>
      </w:r>
      <w:proofErr w:type="gramStart"/>
      <w:r>
        <w:rPr>
          <w:rFonts w:hint="eastAsia"/>
        </w:rPr>
        <w:t>颤导致</w:t>
      </w:r>
      <w:proofErr w:type="gramEnd"/>
      <w:r>
        <w:rPr>
          <w:rFonts w:hint="eastAsia"/>
        </w:rPr>
        <w:t>的脑卒中及其并发症的重要措施。</w:t>
      </w:r>
    </w:p>
    <w:p w:rsidR="005B5FEC" w:rsidRDefault="005B5FEC" w:rsidP="005B5FEC">
      <w:pPr>
        <w:ind w:firstLineChars="200" w:firstLine="420"/>
      </w:pPr>
      <w:r>
        <w:rPr>
          <w:rFonts w:hint="eastAsia"/>
        </w:rPr>
        <w:t>抗凝药物在降低卒中风险的同时，可能导致出血风险。目前</w:t>
      </w:r>
      <w:proofErr w:type="gramStart"/>
      <w:r>
        <w:rPr>
          <w:rFonts w:hint="eastAsia"/>
        </w:rPr>
        <w:t>我国房颤患者</w:t>
      </w:r>
      <w:proofErr w:type="gramEnd"/>
      <w:r>
        <w:rPr>
          <w:rFonts w:hint="eastAsia"/>
        </w:rPr>
        <w:t>大多数接受抗血小板治疗，采取抗凝治疗的比例低，此现象可能与临床医生对抗凝药物的出血风险过度担忧有关。维生素</w:t>
      </w:r>
      <w:r>
        <w:rPr>
          <w:rFonts w:hint="eastAsia"/>
        </w:rPr>
        <w:t xml:space="preserve"> K</w:t>
      </w:r>
      <w:proofErr w:type="gramStart"/>
      <w:r>
        <w:rPr>
          <w:rFonts w:hint="eastAsia"/>
        </w:rPr>
        <w:t>拮抗剂华法</w:t>
      </w:r>
      <w:proofErr w:type="gramEnd"/>
      <w:r>
        <w:rPr>
          <w:rFonts w:hint="eastAsia"/>
        </w:rPr>
        <w:t>林虽可显著降低血栓栓塞事件，但由于其治疗窗狭窄，临床应用时需频繁监测患者凝血功能并调整其剂量以维持疗效、降低出血风险，个体差异大且易受药物食物相互作用影响，一定程度上限制了其临床作用的发挥。不同于华法林，新型口服直接凝血酶抑制</w:t>
      </w:r>
      <w:proofErr w:type="gramStart"/>
      <w:r>
        <w:rPr>
          <w:rFonts w:hint="eastAsia"/>
        </w:rPr>
        <w:t>剂达比加群酯</w:t>
      </w:r>
      <w:proofErr w:type="gramEnd"/>
      <w:r>
        <w:rPr>
          <w:rFonts w:hint="eastAsia"/>
        </w:rPr>
        <w:t>，具有较低的药物相互作用，无需依赖于常规的凝血功能监测和反复的剂量调整，且具有药动学优势，已先后被多个国家包括中国批准用于成年房</w:t>
      </w:r>
      <w:proofErr w:type="gramStart"/>
      <w:r>
        <w:rPr>
          <w:rFonts w:hint="eastAsia"/>
        </w:rPr>
        <w:t>颤患者</w:t>
      </w:r>
      <w:proofErr w:type="gramEnd"/>
      <w:r>
        <w:rPr>
          <w:rFonts w:hint="eastAsia"/>
        </w:rPr>
        <w:t>卒中和全身性栓塞的预防。一项由全球</w:t>
      </w:r>
      <w:r>
        <w:rPr>
          <w:rFonts w:hint="eastAsia"/>
        </w:rPr>
        <w:t>44</w:t>
      </w:r>
      <w:r>
        <w:rPr>
          <w:rFonts w:hint="eastAsia"/>
        </w:rPr>
        <w:t>个国家共</w:t>
      </w:r>
      <w:r>
        <w:rPr>
          <w:rFonts w:hint="eastAsia"/>
        </w:rPr>
        <w:t>951</w:t>
      </w:r>
      <w:r>
        <w:rPr>
          <w:rFonts w:hint="eastAsia"/>
        </w:rPr>
        <w:t>个中心组织的长期抗凝治疗随机评估研究，</w:t>
      </w:r>
      <w:proofErr w:type="gramStart"/>
      <w:r>
        <w:rPr>
          <w:rFonts w:hint="eastAsia"/>
        </w:rPr>
        <w:t>证实达比加群酯</w:t>
      </w:r>
      <w:proofErr w:type="gramEnd"/>
      <w:r>
        <w:rPr>
          <w:rFonts w:hint="eastAsia"/>
        </w:rPr>
        <w:t>在预防卒中方面不劣于华法林，且出血风险较低，其疗效得到肯定。但</w:t>
      </w:r>
      <w:r>
        <w:rPr>
          <w:rFonts w:hint="eastAsia"/>
        </w:rPr>
        <w:t>2014</w:t>
      </w:r>
      <w:r>
        <w:rPr>
          <w:rFonts w:hint="eastAsia"/>
        </w:rPr>
        <w:t>年美国</w:t>
      </w:r>
      <w:r>
        <w:rPr>
          <w:rFonts w:hint="eastAsia"/>
        </w:rPr>
        <w:t>FDA</w:t>
      </w:r>
      <w:r>
        <w:rPr>
          <w:rFonts w:hint="eastAsia"/>
        </w:rPr>
        <w:t>发布了药品安全警示：一项纳入</w:t>
      </w:r>
      <w:r>
        <w:rPr>
          <w:rFonts w:hint="eastAsia"/>
        </w:rPr>
        <w:t>134 000</w:t>
      </w:r>
      <w:r>
        <w:rPr>
          <w:rFonts w:hint="eastAsia"/>
        </w:rPr>
        <w:t>多名患者的研究显示</w:t>
      </w:r>
      <w:r>
        <w:rPr>
          <w:rFonts w:hint="eastAsia"/>
        </w:rPr>
        <w:t xml:space="preserve"> </w:t>
      </w:r>
      <w:r>
        <w:rPr>
          <w:rFonts w:hint="eastAsia"/>
        </w:rPr>
        <w:t>，达比</w:t>
      </w:r>
      <w:proofErr w:type="gramStart"/>
      <w:r>
        <w:rPr>
          <w:rFonts w:hint="eastAsia"/>
        </w:rPr>
        <w:t>加群酯引起</w:t>
      </w:r>
      <w:proofErr w:type="gramEnd"/>
      <w:r>
        <w:rPr>
          <w:rFonts w:hint="eastAsia"/>
        </w:rPr>
        <w:t>胃肠出血的风险较华法林高，应引起重视</w:t>
      </w:r>
      <w:r>
        <w:rPr>
          <w:rFonts w:hint="eastAsia"/>
          <w:vertAlign w:val="superscript"/>
        </w:rPr>
        <w:t>[</w:t>
      </w:r>
      <w:r>
        <w:rPr>
          <w:vertAlign w:val="superscript"/>
        </w:rPr>
        <w:t>1]</w:t>
      </w:r>
      <w:r>
        <w:rPr>
          <w:rFonts w:hint="eastAsia"/>
        </w:rPr>
        <w:t>。在抗凝治疗中如何权衡利弊选择适宜的抗凝药物，是对临床医师的挑战，因此</w:t>
      </w:r>
      <w:proofErr w:type="gramStart"/>
      <w:r>
        <w:rPr>
          <w:rFonts w:hint="eastAsia"/>
        </w:rPr>
        <w:t>探讨达比加群酯用于</w:t>
      </w:r>
      <w:proofErr w:type="gramEnd"/>
      <w:r>
        <w:rPr>
          <w:rFonts w:hint="eastAsia"/>
        </w:rPr>
        <w:t>预防房</w:t>
      </w:r>
      <w:proofErr w:type="gramStart"/>
      <w:r>
        <w:rPr>
          <w:rFonts w:hint="eastAsia"/>
        </w:rPr>
        <w:t>颤患者</w:t>
      </w:r>
      <w:proofErr w:type="gramEnd"/>
      <w:r>
        <w:rPr>
          <w:rFonts w:hint="eastAsia"/>
        </w:rPr>
        <w:t>脑卒中时致消化道出血的可能危险因素，可为临床医师开展安全有效的抗凝治疗提供参考。</w:t>
      </w:r>
    </w:p>
    <w:p w:rsidR="005B5FEC" w:rsidRDefault="005B5FEC" w:rsidP="005B5FEC">
      <w:pPr>
        <w:ind w:firstLineChars="200" w:firstLine="420"/>
      </w:pPr>
      <w:r>
        <w:rPr>
          <w:rFonts w:hint="eastAsia"/>
        </w:rPr>
        <w:t>达比</w:t>
      </w:r>
      <w:proofErr w:type="gramStart"/>
      <w:r>
        <w:rPr>
          <w:rFonts w:hint="eastAsia"/>
        </w:rPr>
        <w:t>加群酯致</w:t>
      </w:r>
      <w:proofErr w:type="gramEnd"/>
      <w:r>
        <w:rPr>
          <w:rFonts w:hint="eastAsia"/>
        </w:rPr>
        <w:t>消化道出血的危险因素可能包括肾功能水平、年龄、体重、原患疾病、药物相互作用、抗凝药物的转换、处方错误等</w:t>
      </w:r>
      <w:r>
        <w:rPr>
          <w:rFonts w:hint="eastAsia"/>
          <w:vertAlign w:val="superscript"/>
        </w:rPr>
        <w:t>[</w:t>
      </w:r>
      <w:r>
        <w:rPr>
          <w:vertAlign w:val="superscript"/>
        </w:rPr>
        <w:t>2]</w:t>
      </w:r>
      <w:r>
        <w:rPr>
          <w:rFonts w:hint="eastAsia"/>
        </w:rPr>
        <w:t>。</w:t>
      </w:r>
    </w:p>
    <w:p w:rsidR="00FA166D" w:rsidRPr="00FA166D" w:rsidRDefault="00FA166D" w:rsidP="00FA166D">
      <w:pPr>
        <w:pStyle w:val="3"/>
        <w:ind w:firstLine="422"/>
        <w:rPr>
          <w:rStyle w:val="30"/>
          <w:b/>
          <w:bCs/>
        </w:rPr>
      </w:pPr>
      <w:r w:rsidRPr="00FA166D">
        <w:rPr>
          <w:rStyle w:val="30"/>
          <w:rFonts w:hint="eastAsia"/>
          <w:b/>
          <w:bCs/>
        </w:rPr>
        <w:t>1</w:t>
      </w:r>
      <w:r w:rsidRPr="00FA166D">
        <w:rPr>
          <w:rStyle w:val="30"/>
          <w:b/>
          <w:bCs/>
        </w:rPr>
        <w:t xml:space="preserve"> </w:t>
      </w:r>
      <w:r w:rsidR="005B5FEC" w:rsidRPr="00FA166D">
        <w:rPr>
          <w:rFonts w:hint="eastAsia"/>
        </w:rPr>
        <w:t>肾功能</w:t>
      </w:r>
      <w:r w:rsidR="005B5FEC" w:rsidRPr="00FA166D">
        <w:rPr>
          <w:rFonts w:hint="eastAsia"/>
        </w:rPr>
        <w:t xml:space="preserve"> </w:t>
      </w:r>
    </w:p>
    <w:p w:rsidR="005B5FEC" w:rsidRDefault="005B5FEC" w:rsidP="00FA166D">
      <w:pPr>
        <w:pStyle w:val="a4"/>
        <w:ind w:firstLine="420"/>
      </w:pPr>
      <w:r>
        <w:rPr>
          <w:rFonts w:hint="eastAsia"/>
        </w:rPr>
        <w:t>达比</w:t>
      </w:r>
      <w:proofErr w:type="gramStart"/>
      <w:r>
        <w:rPr>
          <w:rFonts w:hint="eastAsia"/>
        </w:rPr>
        <w:t>加群酯</w:t>
      </w:r>
      <w:proofErr w:type="gramEnd"/>
      <w:r>
        <w:rPr>
          <w:rFonts w:hint="eastAsia"/>
        </w:rPr>
        <w:t>与华法林有不同的药动学特点，其大于</w:t>
      </w:r>
      <w:r>
        <w:rPr>
          <w:rFonts w:hint="eastAsia"/>
        </w:rPr>
        <w:t>80%</w:t>
      </w:r>
      <w:r>
        <w:rPr>
          <w:rFonts w:hint="eastAsia"/>
        </w:rPr>
        <w:t>以原型经肾脏排泄。在肾功能正常的机体中，达比</w:t>
      </w:r>
      <w:proofErr w:type="gramStart"/>
      <w:r>
        <w:rPr>
          <w:rFonts w:hint="eastAsia"/>
        </w:rPr>
        <w:t>加群酯</w:t>
      </w:r>
      <w:proofErr w:type="gramEnd"/>
      <w:r>
        <w:rPr>
          <w:rFonts w:hint="eastAsia"/>
        </w:rPr>
        <w:t>的半衰期是</w:t>
      </w:r>
      <w:r>
        <w:rPr>
          <w:rFonts w:hint="eastAsia"/>
        </w:rPr>
        <w:t xml:space="preserve"> 12 ~14 h</w:t>
      </w:r>
      <w:r>
        <w:rPr>
          <w:rFonts w:hint="eastAsia"/>
        </w:rPr>
        <w:t>，而在肾功能损伤的患者中可延长至</w:t>
      </w:r>
      <w:r>
        <w:rPr>
          <w:rFonts w:hint="eastAsia"/>
        </w:rPr>
        <w:t>18.7 h</w:t>
      </w:r>
      <w:r>
        <w:rPr>
          <w:rFonts w:hint="eastAsia"/>
        </w:rPr>
        <w:t>甚至</w:t>
      </w:r>
      <w:r>
        <w:rPr>
          <w:rFonts w:hint="eastAsia"/>
        </w:rPr>
        <w:t>27.5 h</w:t>
      </w:r>
      <w:r>
        <w:rPr>
          <w:rFonts w:hint="eastAsia"/>
        </w:rPr>
        <w:t>。</w:t>
      </w:r>
      <w:r>
        <w:rPr>
          <w:rFonts w:hint="eastAsia"/>
        </w:rPr>
        <w:t>RE- LY</w:t>
      </w:r>
      <w:r>
        <w:rPr>
          <w:rFonts w:hint="eastAsia"/>
        </w:rPr>
        <w:t>试验剔除了肌酐清除率小于</w:t>
      </w:r>
      <w:r>
        <w:rPr>
          <w:rFonts w:hint="eastAsia"/>
        </w:rPr>
        <w:t>30 m L</w:t>
      </w:r>
      <w:r>
        <w:rPr>
          <w:rFonts w:hint="eastAsia"/>
        </w:rPr>
        <w:t>·</w:t>
      </w:r>
      <w:r>
        <w:rPr>
          <w:rFonts w:hint="eastAsia"/>
        </w:rPr>
        <w:t>min-1</w:t>
      </w:r>
      <w:r>
        <w:rPr>
          <w:rFonts w:hint="eastAsia"/>
        </w:rPr>
        <w:t>的患者，不能代表达比加</w:t>
      </w:r>
      <w:proofErr w:type="gramStart"/>
      <w:r>
        <w:rPr>
          <w:rFonts w:hint="eastAsia"/>
        </w:rPr>
        <w:t>群酯应用</w:t>
      </w:r>
      <w:proofErr w:type="gramEnd"/>
      <w:r>
        <w:rPr>
          <w:rFonts w:hint="eastAsia"/>
        </w:rPr>
        <w:t>于肾功能损伤患者的安全性。一名慢性肾功能不全患者接受达比加群酯（</w:t>
      </w:r>
      <w:r>
        <w:rPr>
          <w:rFonts w:hint="eastAsia"/>
        </w:rPr>
        <w:t>150 mg</w:t>
      </w:r>
      <w:r>
        <w:rPr>
          <w:rFonts w:hint="eastAsia"/>
        </w:rPr>
        <w:t>，</w:t>
      </w:r>
      <w:r>
        <w:rPr>
          <w:rFonts w:hint="eastAsia"/>
        </w:rPr>
        <w:t>bid</w:t>
      </w:r>
      <w:r>
        <w:rPr>
          <w:rFonts w:hint="eastAsia"/>
        </w:rPr>
        <w:t>）治疗后排黑便，可能是由于其肾功能下降，导致</w:t>
      </w:r>
      <w:proofErr w:type="gramStart"/>
      <w:r>
        <w:rPr>
          <w:rFonts w:hint="eastAsia"/>
        </w:rPr>
        <w:t>达比加群酯暴露</w:t>
      </w:r>
      <w:proofErr w:type="gramEnd"/>
      <w:r>
        <w:rPr>
          <w:rFonts w:hint="eastAsia"/>
        </w:rPr>
        <w:t>增加、蓄积中毒引起消化道出血</w:t>
      </w:r>
      <w:r>
        <w:rPr>
          <w:rFonts w:hint="eastAsia"/>
        </w:rPr>
        <w:lastRenderedPageBreak/>
        <w:t>的不良反应。多项研究均强调，应密切关注接受达比加</w:t>
      </w:r>
      <w:proofErr w:type="gramStart"/>
      <w:r>
        <w:rPr>
          <w:rFonts w:hint="eastAsia"/>
        </w:rPr>
        <w:t>群酯治疗</w:t>
      </w:r>
      <w:proofErr w:type="gramEnd"/>
      <w:r>
        <w:rPr>
          <w:rFonts w:hint="eastAsia"/>
        </w:rPr>
        <w:t>患者的肾功能水平及变化，建议根据患者肾功能水平调节</w:t>
      </w:r>
      <w:proofErr w:type="gramStart"/>
      <w:r>
        <w:rPr>
          <w:rFonts w:hint="eastAsia"/>
        </w:rPr>
        <w:t>达比加群酯的</w:t>
      </w:r>
      <w:proofErr w:type="gramEnd"/>
      <w:r>
        <w:rPr>
          <w:rFonts w:hint="eastAsia"/>
        </w:rPr>
        <w:t>剂量，调整为</w:t>
      </w:r>
      <w:r>
        <w:rPr>
          <w:rFonts w:hint="eastAsia"/>
        </w:rPr>
        <w:t>110 mg</w:t>
      </w:r>
      <w:r>
        <w:rPr>
          <w:rFonts w:hint="eastAsia"/>
        </w:rPr>
        <w:t>，</w:t>
      </w:r>
      <w:r>
        <w:rPr>
          <w:rFonts w:hint="eastAsia"/>
        </w:rPr>
        <w:t>bid</w:t>
      </w:r>
      <w:r>
        <w:rPr>
          <w:rFonts w:hint="eastAsia"/>
        </w:rPr>
        <w:t>和</w:t>
      </w:r>
      <w:r>
        <w:rPr>
          <w:rFonts w:hint="eastAsia"/>
        </w:rPr>
        <w:t>75 mg</w:t>
      </w:r>
      <w:r>
        <w:rPr>
          <w:rFonts w:hint="eastAsia"/>
        </w:rPr>
        <w:t>，</w:t>
      </w:r>
      <w:r>
        <w:rPr>
          <w:rFonts w:hint="eastAsia"/>
        </w:rPr>
        <w:t>bid</w:t>
      </w:r>
      <w:r>
        <w:rPr>
          <w:rFonts w:hint="eastAsia"/>
        </w:rPr>
        <w:t>等；或换用其他药物如华法林等</w:t>
      </w:r>
      <w:r>
        <w:rPr>
          <w:rFonts w:hint="eastAsia"/>
          <w:vertAlign w:val="superscript"/>
        </w:rPr>
        <w:t>[</w:t>
      </w:r>
      <w:r>
        <w:rPr>
          <w:vertAlign w:val="superscript"/>
        </w:rPr>
        <w:t>3]</w:t>
      </w:r>
      <w:r>
        <w:rPr>
          <w:rFonts w:hint="eastAsia"/>
        </w:rPr>
        <w:t>。</w:t>
      </w:r>
    </w:p>
    <w:p w:rsidR="00FA166D" w:rsidRPr="00FA166D" w:rsidRDefault="005B5FEC" w:rsidP="00E40181">
      <w:pPr>
        <w:pStyle w:val="3"/>
        <w:ind w:firstLine="422"/>
      </w:pPr>
      <w:bookmarkStart w:id="13" w:name="_Toc518914447"/>
      <w:bookmarkStart w:id="14" w:name="_Toc518914918"/>
      <w:bookmarkStart w:id="15" w:name="_Toc6476416"/>
      <w:bookmarkStart w:id="16" w:name="_Toc6476546"/>
      <w:r w:rsidRPr="00FA166D">
        <w:rPr>
          <w:rStyle w:val="20"/>
          <w:rFonts w:ascii="Times New Roman" w:eastAsia="宋体" w:hAnsi="Times New Roman" w:cstheme="minorBidi"/>
          <w:b/>
          <w:bCs/>
          <w:sz w:val="21"/>
        </w:rPr>
        <w:t>2.</w:t>
      </w:r>
      <w:r w:rsidRPr="00FA166D">
        <w:rPr>
          <w:rStyle w:val="20"/>
          <w:rFonts w:ascii="Times New Roman" w:eastAsia="宋体" w:hAnsi="Times New Roman" w:cstheme="minorBidi" w:hint="eastAsia"/>
          <w:b/>
          <w:bCs/>
          <w:sz w:val="21"/>
        </w:rPr>
        <w:t>患者年龄</w:t>
      </w:r>
      <w:bookmarkEnd w:id="13"/>
      <w:bookmarkEnd w:id="14"/>
      <w:bookmarkEnd w:id="15"/>
      <w:bookmarkEnd w:id="16"/>
    </w:p>
    <w:p w:rsidR="005B5FEC" w:rsidRDefault="005B5FEC" w:rsidP="005B5FEC">
      <w:pPr>
        <w:ind w:firstLineChars="200" w:firstLine="420"/>
      </w:pPr>
      <w:r>
        <w:rPr>
          <w:rFonts w:hint="eastAsia"/>
        </w:rPr>
        <w:t>达比加</w:t>
      </w:r>
      <w:proofErr w:type="gramStart"/>
      <w:r>
        <w:rPr>
          <w:rFonts w:hint="eastAsia"/>
        </w:rPr>
        <w:t>群酯致</w:t>
      </w:r>
      <w:proofErr w:type="gramEnd"/>
      <w:r>
        <w:rPr>
          <w:rFonts w:hint="eastAsia"/>
        </w:rPr>
        <w:t>高龄患者出血的风险大于华法林</w:t>
      </w:r>
      <w:r>
        <w:rPr>
          <w:rFonts w:hint="eastAsia"/>
        </w:rPr>
        <w:t xml:space="preserve"> </w:t>
      </w:r>
      <w:r>
        <w:rPr>
          <w:rFonts w:hint="eastAsia"/>
        </w:rPr>
        <w:t>（</w:t>
      </w:r>
      <w:r>
        <w:rPr>
          <w:rFonts w:hint="eastAsia"/>
        </w:rPr>
        <w:t>5.1% vs. 4.3%</w:t>
      </w:r>
      <w:r>
        <w:rPr>
          <w:rFonts w:hint="eastAsia"/>
        </w:rPr>
        <w:t>）。一项回顾性风险因素研究结果显示：高龄患者（</w:t>
      </w:r>
      <w:r>
        <w:rPr>
          <w:rFonts w:hint="eastAsia"/>
        </w:rPr>
        <w:t>&gt; 75</w:t>
      </w:r>
      <w:r>
        <w:rPr>
          <w:rFonts w:hint="eastAsia"/>
        </w:rPr>
        <w:t>岁）是达比加</w:t>
      </w:r>
      <w:proofErr w:type="gramStart"/>
      <w:r>
        <w:rPr>
          <w:rFonts w:hint="eastAsia"/>
        </w:rPr>
        <w:t>群酯致</w:t>
      </w:r>
      <w:proofErr w:type="gramEnd"/>
      <w:r>
        <w:rPr>
          <w:rFonts w:hint="eastAsia"/>
        </w:rPr>
        <w:t>出血的高危因素之一。这可能与老年人的肝肾代谢功能下降有关。由于房</w:t>
      </w:r>
      <w:proofErr w:type="gramStart"/>
      <w:r>
        <w:rPr>
          <w:rFonts w:hint="eastAsia"/>
        </w:rPr>
        <w:t>颤患者</w:t>
      </w:r>
      <w:proofErr w:type="gramEnd"/>
      <w:r>
        <w:rPr>
          <w:rFonts w:hint="eastAsia"/>
        </w:rPr>
        <w:t>多为高龄患者，因此应密切关注中老年患者（</w:t>
      </w:r>
      <w:r>
        <w:rPr>
          <w:rFonts w:hint="eastAsia"/>
        </w:rPr>
        <w:t>&gt; 60</w:t>
      </w:r>
      <w:r>
        <w:rPr>
          <w:rFonts w:hint="eastAsia"/>
        </w:rPr>
        <w:t>岁），特别是高龄患者（</w:t>
      </w:r>
      <w:r>
        <w:rPr>
          <w:rFonts w:hint="eastAsia"/>
        </w:rPr>
        <w:t>&gt; 75</w:t>
      </w:r>
      <w:r>
        <w:rPr>
          <w:rFonts w:hint="eastAsia"/>
        </w:rPr>
        <w:t>岁）的肾功能变化。建议大于</w:t>
      </w:r>
      <w:r>
        <w:rPr>
          <w:rFonts w:hint="eastAsia"/>
        </w:rPr>
        <w:t>75</w:t>
      </w:r>
      <w:r>
        <w:rPr>
          <w:rFonts w:hint="eastAsia"/>
        </w:rPr>
        <w:t>岁的高龄患者</w:t>
      </w:r>
      <w:proofErr w:type="gramStart"/>
      <w:r>
        <w:rPr>
          <w:rFonts w:hint="eastAsia"/>
        </w:rPr>
        <w:t>达比加群酯的</w:t>
      </w:r>
      <w:proofErr w:type="gramEnd"/>
      <w:r>
        <w:rPr>
          <w:rFonts w:hint="eastAsia"/>
        </w:rPr>
        <w:t>用量调整为</w:t>
      </w:r>
      <w:r>
        <w:rPr>
          <w:rFonts w:hint="eastAsia"/>
        </w:rPr>
        <w:t>110 mg</w:t>
      </w:r>
      <w:r>
        <w:rPr>
          <w:rFonts w:hint="eastAsia"/>
        </w:rPr>
        <w:t>，</w:t>
      </w:r>
      <w:r>
        <w:rPr>
          <w:rFonts w:hint="eastAsia"/>
        </w:rPr>
        <w:t>bid</w:t>
      </w:r>
      <w:r>
        <w:rPr>
          <w:rFonts w:hint="eastAsia"/>
        </w:rPr>
        <w:t>。此外，综合分析患者病理生理条件再做适当调整</w:t>
      </w:r>
      <w:r>
        <w:rPr>
          <w:rFonts w:hint="eastAsia"/>
          <w:vertAlign w:val="superscript"/>
        </w:rPr>
        <w:t>[</w:t>
      </w:r>
      <w:r>
        <w:rPr>
          <w:vertAlign w:val="superscript"/>
        </w:rPr>
        <w:t>4]</w:t>
      </w:r>
      <w:r>
        <w:rPr>
          <w:rFonts w:hint="eastAsia"/>
        </w:rPr>
        <w:t>。</w:t>
      </w:r>
    </w:p>
    <w:p w:rsidR="00FA166D" w:rsidRDefault="005B5FEC" w:rsidP="00FA166D">
      <w:pPr>
        <w:pStyle w:val="3"/>
        <w:ind w:firstLine="422"/>
      </w:pPr>
      <w:r>
        <w:t>3.</w:t>
      </w:r>
      <w:r>
        <w:rPr>
          <w:rFonts w:hint="eastAsia"/>
        </w:rPr>
        <w:t>患者体重</w:t>
      </w:r>
      <w:r>
        <w:rPr>
          <w:rFonts w:hint="eastAsia"/>
        </w:rPr>
        <w:t xml:space="preserve"> </w:t>
      </w:r>
    </w:p>
    <w:p w:rsidR="005B5FEC" w:rsidRDefault="005B5FEC" w:rsidP="005B5FEC">
      <w:pPr>
        <w:ind w:firstLineChars="200" w:firstLine="420"/>
      </w:pPr>
      <w:r>
        <w:rPr>
          <w:rFonts w:hint="eastAsia"/>
        </w:rPr>
        <w:t>体重是药物排泄的影响因素之一。纳入</w:t>
      </w:r>
      <w:r>
        <w:rPr>
          <w:rFonts w:hint="eastAsia"/>
        </w:rPr>
        <w:t>RE- LY</w:t>
      </w:r>
      <w:r>
        <w:rPr>
          <w:rFonts w:hint="eastAsia"/>
        </w:rPr>
        <w:t>试验的患者平均体重为</w:t>
      </w:r>
      <w:r>
        <w:rPr>
          <w:rFonts w:hint="eastAsia"/>
        </w:rPr>
        <w:t xml:space="preserve"> 83 kg</w:t>
      </w:r>
      <w:r>
        <w:rPr>
          <w:rFonts w:hint="eastAsia"/>
        </w:rPr>
        <w:t>，不能代表达比加</w:t>
      </w:r>
      <w:proofErr w:type="gramStart"/>
      <w:r>
        <w:rPr>
          <w:rFonts w:hint="eastAsia"/>
        </w:rPr>
        <w:t>群酯应用</w:t>
      </w:r>
      <w:proofErr w:type="gramEnd"/>
      <w:r>
        <w:rPr>
          <w:rFonts w:hint="eastAsia"/>
        </w:rPr>
        <w:t>于低体重（</w:t>
      </w:r>
      <w:r>
        <w:rPr>
          <w:rFonts w:hint="eastAsia"/>
        </w:rPr>
        <w:t>&lt; 60 kg</w:t>
      </w:r>
      <w:r>
        <w:rPr>
          <w:rFonts w:hint="eastAsia"/>
        </w:rPr>
        <w:t>）患者的安全性。研究显示，</w:t>
      </w:r>
      <w:r>
        <w:rPr>
          <w:rFonts w:hint="eastAsia"/>
        </w:rPr>
        <w:t>50%</w:t>
      </w:r>
      <w:r>
        <w:rPr>
          <w:rFonts w:hint="eastAsia"/>
        </w:rPr>
        <w:t>出血患者的体重低于</w:t>
      </w:r>
      <w:r>
        <w:rPr>
          <w:rFonts w:hint="eastAsia"/>
        </w:rPr>
        <w:t>60 kg</w:t>
      </w:r>
      <w:r>
        <w:rPr>
          <w:rFonts w:hint="eastAsia"/>
        </w:rPr>
        <w:t>。基于老年人的代谢特点，对于低体重的患者，应考虑调整剂量。</w:t>
      </w:r>
    </w:p>
    <w:p w:rsidR="00FA166D" w:rsidRDefault="005B5FEC" w:rsidP="00FA166D">
      <w:pPr>
        <w:pStyle w:val="3"/>
        <w:ind w:firstLine="422"/>
      </w:pPr>
      <w:r>
        <w:t>4.</w:t>
      </w:r>
      <w:r>
        <w:rPr>
          <w:rFonts w:hint="eastAsia"/>
        </w:rPr>
        <w:t>原患疾病</w:t>
      </w:r>
      <w:r>
        <w:rPr>
          <w:rFonts w:hint="eastAsia"/>
        </w:rPr>
        <w:t xml:space="preserve"> </w:t>
      </w:r>
    </w:p>
    <w:p w:rsidR="005B5FEC" w:rsidRDefault="005B5FEC" w:rsidP="005B5FEC">
      <w:pPr>
        <w:ind w:firstLineChars="200" w:firstLine="420"/>
      </w:pPr>
      <w:r>
        <w:rPr>
          <w:rFonts w:hint="eastAsia"/>
        </w:rPr>
        <w:t>特殊患者的抗凝治疗需谨慎，</w:t>
      </w:r>
      <w:r>
        <w:rPr>
          <w:rFonts w:hint="eastAsia"/>
        </w:rPr>
        <w:t>1</w:t>
      </w:r>
      <w:proofErr w:type="gramStart"/>
      <w:r>
        <w:rPr>
          <w:rFonts w:hint="eastAsia"/>
        </w:rPr>
        <w:t>例房颤合并全</w:t>
      </w:r>
      <w:proofErr w:type="gramEnd"/>
      <w:r>
        <w:rPr>
          <w:rFonts w:hint="eastAsia"/>
        </w:rPr>
        <w:t>垂体功能减退的患者接受了</w:t>
      </w:r>
      <w:proofErr w:type="gramStart"/>
      <w:r>
        <w:rPr>
          <w:rFonts w:hint="eastAsia"/>
        </w:rPr>
        <w:t>达比加群酯的</w:t>
      </w:r>
      <w:proofErr w:type="gramEnd"/>
      <w:r>
        <w:rPr>
          <w:rFonts w:hint="eastAsia"/>
        </w:rPr>
        <w:t>治疗后死亡，该作者认为与</w:t>
      </w:r>
      <w:proofErr w:type="gramStart"/>
      <w:r>
        <w:rPr>
          <w:rFonts w:hint="eastAsia"/>
        </w:rPr>
        <w:t>达比加群酯有关</w:t>
      </w:r>
      <w:proofErr w:type="gramEnd"/>
      <w:r>
        <w:rPr>
          <w:rFonts w:hint="eastAsia"/>
        </w:rPr>
        <w:t>。研究认为全垂体功能减退与血流动力学紊乱有关，</w:t>
      </w:r>
      <w:proofErr w:type="gramStart"/>
      <w:r>
        <w:rPr>
          <w:rFonts w:hint="eastAsia"/>
        </w:rPr>
        <w:t>提示全</w:t>
      </w:r>
      <w:proofErr w:type="gramEnd"/>
      <w:r>
        <w:rPr>
          <w:rFonts w:hint="eastAsia"/>
        </w:rPr>
        <w:t>垂体功能减退可能是达比加</w:t>
      </w:r>
      <w:proofErr w:type="gramStart"/>
      <w:r>
        <w:rPr>
          <w:rFonts w:hint="eastAsia"/>
        </w:rPr>
        <w:t>群酯致</w:t>
      </w:r>
      <w:proofErr w:type="gramEnd"/>
      <w:r>
        <w:rPr>
          <w:rFonts w:hint="eastAsia"/>
        </w:rPr>
        <w:t>消化道出血的一个罕见的危险因素，选用达比加</w:t>
      </w:r>
      <w:proofErr w:type="gramStart"/>
      <w:r>
        <w:rPr>
          <w:rFonts w:hint="eastAsia"/>
        </w:rPr>
        <w:t>群酯需</w:t>
      </w:r>
      <w:proofErr w:type="gramEnd"/>
      <w:r>
        <w:rPr>
          <w:rFonts w:hint="eastAsia"/>
        </w:rPr>
        <w:t>谨慎，具体机制有待深入研究。房</w:t>
      </w:r>
      <w:proofErr w:type="gramStart"/>
      <w:r>
        <w:rPr>
          <w:rFonts w:hint="eastAsia"/>
        </w:rPr>
        <w:t>颤患者</w:t>
      </w:r>
      <w:proofErr w:type="gramEnd"/>
      <w:r>
        <w:rPr>
          <w:rFonts w:hint="eastAsia"/>
        </w:rPr>
        <w:t>还常合并冠心病。抗血小板和抗凝治疗的最佳策略临床证据不多，争议较大，部分荟萃分析显示</w:t>
      </w:r>
      <w:proofErr w:type="gramStart"/>
      <w:r>
        <w:rPr>
          <w:rFonts w:hint="eastAsia"/>
        </w:rPr>
        <w:t>抗凝药联用</w:t>
      </w:r>
      <w:proofErr w:type="gramEnd"/>
      <w:r>
        <w:rPr>
          <w:rFonts w:hint="eastAsia"/>
        </w:rPr>
        <w:t>抗血小板药可明显增加出血风险</w:t>
      </w:r>
      <w:r>
        <w:rPr>
          <w:rFonts w:hint="eastAsia"/>
          <w:vertAlign w:val="superscript"/>
        </w:rPr>
        <w:t>[</w:t>
      </w:r>
      <w:r>
        <w:rPr>
          <w:vertAlign w:val="superscript"/>
        </w:rPr>
        <w:t>5]</w:t>
      </w:r>
      <w:r>
        <w:rPr>
          <w:rFonts w:hint="eastAsia"/>
        </w:rPr>
        <w:t>。因此，应考虑临床情况综合分析，包括血栓形成和出血风险。</w:t>
      </w:r>
    </w:p>
    <w:p w:rsidR="00FA166D" w:rsidRDefault="005B5FEC" w:rsidP="00FA166D">
      <w:pPr>
        <w:pStyle w:val="3"/>
        <w:ind w:firstLine="422"/>
      </w:pPr>
      <w:r>
        <w:t>5.</w:t>
      </w:r>
      <w:r>
        <w:rPr>
          <w:rFonts w:hint="eastAsia"/>
        </w:rPr>
        <w:t>药物相互作用</w:t>
      </w:r>
      <w:r>
        <w:rPr>
          <w:rFonts w:hint="eastAsia"/>
        </w:rPr>
        <w:t xml:space="preserve">  </w:t>
      </w:r>
    </w:p>
    <w:p w:rsidR="005B5FEC" w:rsidRDefault="005B5FEC" w:rsidP="005B5FEC">
      <w:pPr>
        <w:ind w:firstLineChars="200" w:firstLine="420"/>
      </w:pPr>
      <w:r>
        <w:rPr>
          <w:rFonts w:hint="eastAsia"/>
        </w:rPr>
        <w:t>老年人</w:t>
      </w:r>
      <w:proofErr w:type="gramStart"/>
      <w:r>
        <w:rPr>
          <w:rFonts w:hint="eastAsia"/>
        </w:rPr>
        <w:t>常联合</w:t>
      </w:r>
      <w:proofErr w:type="gramEnd"/>
      <w:r>
        <w:rPr>
          <w:rFonts w:hint="eastAsia"/>
        </w:rPr>
        <w:t>应用多种药物</w:t>
      </w:r>
      <w:r>
        <w:rPr>
          <w:rFonts w:hint="eastAsia"/>
        </w:rPr>
        <w:t xml:space="preserve"> </w:t>
      </w:r>
      <w:r>
        <w:rPr>
          <w:rFonts w:hint="eastAsia"/>
        </w:rPr>
        <w:t>。虽然与华法林相比，</w:t>
      </w:r>
      <w:proofErr w:type="gramStart"/>
      <w:r>
        <w:rPr>
          <w:rFonts w:hint="eastAsia"/>
        </w:rPr>
        <w:t>达比加群酯较少</w:t>
      </w:r>
      <w:proofErr w:type="gramEnd"/>
      <w:r>
        <w:rPr>
          <w:rFonts w:hint="eastAsia"/>
        </w:rPr>
        <w:t>受药物的影响，但对于长期服用多种药物的老年人，药物相互作用仍值得重视。如：</w:t>
      </w:r>
      <w:r>
        <w:rPr>
          <w:rFonts w:hint="eastAsia"/>
        </w:rPr>
        <w:t>P-</w:t>
      </w:r>
      <w:r>
        <w:rPr>
          <w:rFonts w:hint="eastAsia"/>
        </w:rPr>
        <w:t>糖蛋白抑制剂（普罗帕酮、红霉素、胺碘酮、</w:t>
      </w:r>
      <w:proofErr w:type="gramStart"/>
      <w:r>
        <w:rPr>
          <w:rFonts w:hint="eastAsia"/>
        </w:rPr>
        <w:t>决奈达隆</w:t>
      </w:r>
      <w:proofErr w:type="gramEnd"/>
      <w:r>
        <w:rPr>
          <w:rFonts w:hint="eastAsia"/>
        </w:rPr>
        <w:t>）、非</w:t>
      </w:r>
      <w:proofErr w:type="gramStart"/>
      <w:r>
        <w:rPr>
          <w:rFonts w:hint="eastAsia"/>
        </w:rPr>
        <w:t>甾</w:t>
      </w:r>
      <w:proofErr w:type="gramEnd"/>
      <w:r>
        <w:rPr>
          <w:rFonts w:hint="eastAsia"/>
        </w:rPr>
        <w:t>体类抗炎药（阿司匹林、对乙酰氨基</w:t>
      </w:r>
      <w:proofErr w:type="gramStart"/>
      <w:r>
        <w:rPr>
          <w:rFonts w:hint="eastAsia"/>
        </w:rPr>
        <w:t>酚</w:t>
      </w:r>
      <w:proofErr w:type="gramEnd"/>
      <w:r>
        <w:rPr>
          <w:rFonts w:hint="eastAsia"/>
        </w:rPr>
        <w:t>、保泰松、</w:t>
      </w:r>
      <w:proofErr w:type="gramStart"/>
      <w:r>
        <w:rPr>
          <w:rFonts w:hint="eastAsia"/>
        </w:rPr>
        <w:t>吲哚美辛</w:t>
      </w:r>
      <w:proofErr w:type="gramEnd"/>
      <w:r>
        <w:rPr>
          <w:rFonts w:hint="eastAsia"/>
        </w:rPr>
        <w:t>）及类固醇类激素药物（</w:t>
      </w:r>
      <w:proofErr w:type="gramStart"/>
      <w:r>
        <w:rPr>
          <w:rFonts w:hint="eastAsia"/>
        </w:rPr>
        <w:t>甲泼尼龙</w:t>
      </w:r>
      <w:proofErr w:type="gramEnd"/>
      <w:r>
        <w:rPr>
          <w:rFonts w:hint="eastAsia"/>
        </w:rPr>
        <w:t>、</w:t>
      </w:r>
      <w:proofErr w:type="gramStart"/>
      <w:r>
        <w:rPr>
          <w:rFonts w:hint="eastAsia"/>
        </w:rPr>
        <w:t>氟替卡</w:t>
      </w:r>
      <w:proofErr w:type="gramEnd"/>
      <w:r>
        <w:rPr>
          <w:rFonts w:hint="eastAsia"/>
        </w:rPr>
        <w:t>松、泼尼松）</w:t>
      </w:r>
      <w:r>
        <w:rPr>
          <w:rFonts w:hint="eastAsia"/>
          <w:vertAlign w:val="superscript"/>
        </w:rPr>
        <w:t>[</w:t>
      </w:r>
      <w:r>
        <w:rPr>
          <w:vertAlign w:val="superscript"/>
        </w:rPr>
        <w:t>6]</w:t>
      </w:r>
      <w:r>
        <w:rPr>
          <w:rFonts w:hint="eastAsia"/>
        </w:rPr>
        <w:t>。</w:t>
      </w:r>
    </w:p>
    <w:p w:rsidR="00FA166D" w:rsidRDefault="005B5FEC" w:rsidP="00FA166D">
      <w:pPr>
        <w:pStyle w:val="3"/>
        <w:ind w:firstLine="422"/>
      </w:pPr>
      <w:r>
        <w:t>6.</w:t>
      </w:r>
      <w:r>
        <w:rPr>
          <w:rFonts w:hint="eastAsia"/>
        </w:rPr>
        <w:t>抗凝药物的转换</w:t>
      </w:r>
      <w:r>
        <w:rPr>
          <w:rFonts w:hint="eastAsia"/>
        </w:rPr>
        <w:t xml:space="preserve">  </w:t>
      </w:r>
    </w:p>
    <w:p w:rsidR="005B5FEC" w:rsidRDefault="005B5FEC" w:rsidP="005B5FEC">
      <w:pPr>
        <w:ind w:firstLineChars="200" w:firstLine="420"/>
      </w:pPr>
      <w:r>
        <w:rPr>
          <w:rFonts w:hint="eastAsia"/>
        </w:rPr>
        <w:t>不少出血发生在更换抗凝药时期。</w:t>
      </w:r>
      <w:r>
        <w:rPr>
          <w:rFonts w:hint="eastAsia"/>
        </w:rPr>
        <w:t xml:space="preserve"> </w:t>
      </w:r>
      <w:r>
        <w:rPr>
          <w:rFonts w:hint="eastAsia"/>
        </w:rPr>
        <w:t>一部分消化道出血的患者曾接受华法林抗凝治疗，后来由于</w:t>
      </w:r>
      <w:r>
        <w:rPr>
          <w:rFonts w:hint="eastAsia"/>
        </w:rPr>
        <w:t>INR</w:t>
      </w:r>
      <w:r>
        <w:rPr>
          <w:rFonts w:hint="eastAsia"/>
        </w:rPr>
        <w:t>评分不合格，或考虑达比加</w:t>
      </w:r>
      <w:proofErr w:type="gramStart"/>
      <w:r>
        <w:rPr>
          <w:rFonts w:hint="eastAsia"/>
        </w:rPr>
        <w:t>群酯更为</w:t>
      </w:r>
      <w:proofErr w:type="gramEnd"/>
      <w:r>
        <w:rPr>
          <w:rFonts w:hint="eastAsia"/>
        </w:rPr>
        <w:t>方便而停用华法林改用达比加群酯。研究表明，停用华法林改用</w:t>
      </w:r>
      <w:proofErr w:type="gramStart"/>
      <w:r>
        <w:rPr>
          <w:rFonts w:hint="eastAsia"/>
        </w:rPr>
        <w:t>达比加群酯的</w:t>
      </w:r>
      <w:proofErr w:type="gramEnd"/>
      <w:r>
        <w:rPr>
          <w:rFonts w:hint="eastAsia"/>
        </w:rPr>
        <w:t>患者消化道出血率明显大于继续使用华法林进行抗凝治疗的患者，这可能与</w:t>
      </w:r>
      <w:proofErr w:type="gramStart"/>
      <w:r>
        <w:rPr>
          <w:rFonts w:hint="eastAsia"/>
        </w:rPr>
        <w:t>达比加群酯的</w:t>
      </w:r>
      <w:proofErr w:type="gramEnd"/>
      <w:r>
        <w:rPr>
          <w:rFonts w:hint="eastAsia"/>
        </w:rPr>
        <w:t>本身作用有关，但也提醒我们，抗凝药物的更换应密切关注机体的状态，保证在抗凝不中断的</w:t>
      </w:r>
      <w:proofErr w:type="gramStart"/>
      <w:r>
        <w:rPr>
          <w:rFonts w:hint="eastAsia"/>
        </w:rPr>
        <w:t>的</w:t>
      </w:r>
      <w:proofErr w:type="gramEnd"/>
      <w:r>
        <w:rPr>
          <w:rFonts w:hint="eastAsia"/>
        </w:rPr>
        <w:t>前提下，尽量减少出血。</w:t>
      </w:r>
    </w:p>
    <w:p w:rsidR="00FA166D" w:rsidRDefault="005B5FEC" w:rsidP="00FA166D">
      <w:pPr>
        <w:pStyle w:val="3"/>
        <w:ind w:firstLine="422"/>
      </w:pPr>
      <w:r>
        <w:t>7.</w:t>
      </w:r>
      <w:r>
        <w:rPr>
          <w:rFonts w:hint="eastAsia"/>
        </w:rPr>
        <w:t>处方错误</w:t>
      </w:r>
      <w:r>
        <w:rPr>
          <w:rFonts w:hint="eastAsia"/>
        </w:rPr>
        <w:t xml:space="preserve">  </w:t>
      </w:r>
    </w:p>
    <w:p w:rsidR="005B5FEC" w:rsidRDefault="005B5FEC" w:rsidP="005B5FEC">
      <w:pPr>
        <w:ind w:firstLineChars="200" w:firstLine="420"/>
      </w:pPr>
      <w:r>
        <w:rPr>
          <w:rFonts w:hint="eastAsia"/>
        </w:rPr>
        <w:t>1</w:t>
      </w:r>
      <w:r>
        <w:rPr>
          <w:rFonts w:hint="eastAsia"/>
        </w:rPr>
        <w:t>例瓣膜置换术后患者接受了</w:t>
      </w:r>
      <w:proofErr w:type="gramStart"/>
      <w:r>
        <w:rPr>
          <w:rFonts w:hint="eastAsia"/>
        </w:rPr>
        <w:t>达比加群脂的</w:t>
      </w:r>
      <w:proofErr w:type="gramEnd"/>
      <w:r>
        <w:rPr>
          <w:rFonts w:hint="eastAsia"/>
        </w:rPr>
        <w:t>预防治疗，但是其用于预防该类患者的脑卒中是没有临床证据支撑的，属于适应证不适宜。临床医生应明确</w:t>
      </w:r>
      <w:proofErr w:type="gramStart"/>
      <w:r>
        <w:rPr>
          <w:rFonts w:hint="eastAsia"/>
        </w:rPr>
        <w:t>达比加群酯的</w:t>
      </w:r>
      <w:proofErr w:type="gramEnd"/>
      <w:r>
        <w:rPr>
          <w:rFonts w:hint="eastAsia"/>
        </w:rPr>
        <w:t>适应证，慎重开处方。医师与药师应参照指南建议综合分析，正确选用抗凝药物。另外，应结合临床综合调整剂</w:t>
      </w:r>
      <w:r>
        <w:rPr>
          <w:rFonts w:hint="eastAsia"/>
        </w:rPr>
        <w:lastRenderedPageBreak/>
        <w:t>量。应注意需适当降低</w:t>
      </w:r>
      <w:proofErr w:type="gramStart"/>
      <w:r>
        <w:rPr>
          <w:rFonts w:hint="eastAsia"/>
        </w:rPr>
        <w:t>达比加群酯剂量</w:t>
      </w:r>
      <w:proofErr w:type="gramEnd"/>
      <w:r>
        <w:rPr>
          <w:rFonts w:hint="eastAsia"/>
        </w:rPr>
        <w:t>的情况，如患者肾功能损伤、高龄、合并抗血小板药物等。随着达比加</w:t>
      </w:r>
      <w:proofErr w:type="gramStart"/>
      <w:r>
        <w:rPr>
          <w:rFonts w:hint="eastAsia"/>
        </w:rPr>
        <w:t>群酯进入</w:t>
      </w:r>
      <w:proofErr w:type="gramEnd"/>
      <w:r>
        <w:rPr>
          <w:rFonts w:hint="eastAsia"/>
        </w:rPr>
        <w:t>中国市场，其在老年房</w:t>
      </w:r>
      <w:proofErr w:type="gramStart"/>
      <w:r>
        <w:rPr>
          <w:rFonts w:hint="eastAsia"/>
        </w:rPr>
        <w:t>颤患者</w:t>
      </w:r>
      <w:proofErr w:type="gramEnd"/>
      <w:r>
        <w:rPr>
          <w:rFonts w:hint="eastAsia"/>
        </w:rPr>
        <w:t>的应用将日益广泛，而</w:t>
      </w:r>
      <w:proofErr w:type="gramStart"/>
      <w:r>
        <w:rPr>
          <w:rFonts w:hint="eastAsia"/>
        </w:rPr>
        <w:t>达比加群酯在</w:t>
      </w:r>
      <w:proofErr w:type="gramEnd"/>
      <w:r>
        <w:rPr>
          <w:rFonts w:hint="eastAsia"/>
        </w:rPr>
        <w:t>出血高风险患者的剂量调整仍需深入分析与评价</w:t>
      </w:r>
      <w:r w:rsidRPr="005470B2">
        <w:rPr>
          <w:rFonts w:hint="eastAsia"/>
          <w:vertAlign w:val="superscript"/>
        </w:rPr>
        <w:t>[</w:t>
      </w:r>
      <w:r w:rsidRPr="005470B2">
        <w:rPr>
          <w:vertAlign w:val="superscript"/>
        </w:rPr>
        <w:t>7]</w:t>
      </w:r>
      <w:r>
        <w:rPr>
          <w:rFonts w:hint="eastAsia"/>
        </w:rPr>
        <w:t>。</w:t>
      </w:r>
    </w:p>
    <w:p w:rsidR="005B5FEC" w:rsidRDefault="005B5FEC" w:rsidP="005B5FEC">
      <w:pPr>
        <w:ind w:firstLineChars="200" w:firstLine="420"/>
      </w:pPr>
      <w:r>
        <w:rPr>
          <w:rFonts w:hint="eastAsia"/>
        </w:rPr>
        <w:t>预防达比加</w:t>
      </w:r>
      <w:proofErr w:type="gramStart"/>
      <w:r>
        <w:rPr>
          <w:rFonts w:hint="eastAsia"/>
        </w:rPr>
        <w:t>群酯致</w:t>
      </w:r>
      <w:proofErr w:type="gramEnd"/>
      <w:r>
        <w:rPr>
          <w:rFonts w:hint="eastAsia"/>
        </w:rPr>
        <w:t>消化道出血的措施</w:t>
      </w:r>
      <w:r>
        <w:rPr>
          <w:rFonts w:hint="eastAsia"/>
        </w:rPr>
        <w:t xml:space="preserve">  </w:t>
      </w:r>
      <w:r>
        <w:rPr>
          <w:rFonts w:hint="eastAsia"/>
        </w:rPr>
        <w:t>华法林为房</w:t>
      </w:r>
      <w:proofErr w:type="gramStart"/>
      <w:r>
        <w:rPr>
          <w:rFonts w:hint="eastAsia"/>
        </w:rPr>
        <w:t>颤患者</w:t>
      </w:r>
      <w:proofErr w:type="gramEnd"/>
      <w:r>
        <w:rPr>
          <w:rFonts w:hint="eastAsia"/>
        </w:rPr>
        <w:t>卒中预防的金标准已有</w:t>
      </w:r>
      <w:r>
        <w:rPr>
          <w:rFonts w:hint="eastAsia"/>
        </w:rPr>
        <w:t>50</w:t>
      </w:r>
      <w:r>
        <w:rPr>
          <w:rFonts w:hint="eastAsia"/>
        </w:rPr>
        <w:t>多年历史，而我们也已充分认识到其局限性。达比加</w:t>
      </w:r>
      <w:proofErr w:type="gramStart"/>
      <w:r>
        <w:rPr>
          <w:rFonts w:hint="eastAsia"/>
        </w:rPr>
        <w:t>群酯作为</w:t>
      </w:r>
      <w:proofErr w:type="gramEnd"/>
      <w:r>
        <w:rPr>
          <w:rFonts w:hint="eastAsia"/>
        </w:rPr>
        <w:t>一种新型的口服直接凝血酶抑制剂，恒定剂量给药时即可发挥稳定强效的抗凝作用，在临床疗效、患者依从性及安全性等方面具有更多优势。更可喜的是，首个</w:t>
      </w:r>
      <w:proofErr w:type="gramStart"/>
      <w:r>
        <w:rPr>
          <w:rFonts w:hint="eastAsia"/>
        </w:rPr>
        <w:t>达比加群酯特异性</w:t>
      </w:r>
      <w:proofErr w:type="gramEnd"/>
      <w:r>
        <w:rPr>
          <w:rFonts w:hint="eastAsia"/>
        </w:rPr>
        <w:t>拮抗剂</w:t>
      </w:r>
      <w:proofErr w:type="spellStart"/>
      <w:r>
        <w:rPr>
          <w:rFonts w:hint="eastAsia"/>
        </w:rPr>
        <w:t>idarucizumab</w:t>
      </w:r>
      <w:proofErr w:type="spellEnd"/>
      <w:r>
        <w:rPr>
          <w:rFonts w:hint="eastAsia"/>
        </w:rPr>
        <w:t xml:space="preserve"> </w:t>
      </w:r>
      <w:r>
        <w:rPr>
          <w:rFonts w:hint="eastAsia"/>
        </w:rPr>
        <w:t>通过</w:t>
      </w:r>
      <w:r>
        <w:rPr>
          <w:rFonts w:hint="eastAsia"/>
        </w:rPr>
        <w:t>FDA</w:t>
      </w:r>
      <w:r>
        <w:rPr>
          <w:rFonts w:hint="eastAsia"/>
        </w:rPr>
        <w:t>加速审批项目批准用于快速逆转</w:t>
      </w:r>
      <w:proofErr w:type="gramStart"/>
      <w:r>
        <w:rPr>
          <w:rFonts w:hint="eastAsia"/>
        </w:rPr>
        <w:t>达比加群酯的</w:t>
      </w:r>
      <w:proofErr w:type="gramEnd"/>
      <w:r>
        <w:rPr>
          <w:rFonts w:hint="eastAsia"/>
        </w:rPr>
        <w:t>抗凝效果。达比加</w:t>
      </w:r>
      <w:proofErr w:type="gramStart"/>
      <w:r>
        <w:rPr>
          <w:rFonts w:hint="eastAsia"/>
        </w:rPr>
        <w:t>群酯用于</w:t>
      </w:r>
      <w:proofErr w:type="gramEnd"/>
      <w:r>
        <w:rPr>
          <w:rFonts w:hint="eastAsia"/>
        </w:rPr>
        <w:t>预防房</w:t>
      </w:r>
      <w:proofErr w:type="gramStart"/>
      <w:r>
        <w:rPr>
          <w:rFonts w:hint="eastAsia"/>
        </w:rPr>
        <w:t>颤患者</w:t>
      </w:r>
      <w:proofErr w:type="gramEnd"/>
      <w:r>
        <w:rPr>
          <w:rFonts w:hint="eastAsia"/>
        </w:rPr>
        <w:t>脑卒中时，致消化道出血的危险因素可能包括肾功能水平、年龄、体重、原患疾病、药物相互作用、抗凝药物的转换和处方错误等。防范大于未然，临床医师应权衡利弊，明确</w:t>
      </w:r>
      <w:proofErr w:type="gramStart"/>
      <w:r>
        <w:rPr>
          <w:rFonts w:hint="eastAsia"/>
        </w:rPr>
        <w:t>达比加群酯的</w:t>
      </w:r>
      <w:proofErr w:type="gramEnd"/>
      <w:r>
        <w:rPr>
          <w:rFonts w:hint="eastAsia"/>
        </w:rPr>
        <w:t>适应证和禁忌证。参照血栓栓塞防治循证工作组编写的《达比加群酯用于非瓣膜病心房颤动患者卒中预防的临床应用建议》；关注国内外最新应用</w:t>
      </w:r>
      <w:proofErr w:type="gramStart"/>
      <w:r>
        <w:rPr>
          <w:rFonts w:hint="eastAsia"/>
        </w:rPr>
        <w:t>达比加群酯的</w:t>
      </w:r>
      <w:proofErr w:type="gramEnd"/>
      <w:r>
        <w:rPr>
          <w:rFonts w:hint="eastAsia"/>
        </w:rPr>
        <w:t>注意事项更新；充分开展出血风险评分、卒中风险评分等，正确评价抗凝治疗的效益</w:t>
      </w:r>
      <w:r>
        <w:rPr>
          <w:rFonts w:hint="eastAsia"/>
        </w:rPr>
        <w:t>-</w:t>
      </w:r>
      <w:r>
        <w:rPr>
          <w:rFonts w:hint="eastAsia"/>
        </w:rPr>
        <w:t>风险，是预防消化道出血的重要措施。通过全面评估</w:t>
      </w:r>
      <w:proofErr w:type="gramStart"/>
      <w:r>
        <w:rPr>
          <w:rFonts w:hint="eastAsia"/>
        </w:rPr>
        <w:t>达比加群酯的</w:t>
      </w:r>
      <w:proofErr w:type="gramEnd"/>
      <w:r>
        <w:rPr>
          <w:rFonts w:hint="eastAsia"/>
        </w:rPr>
        <w:t>临床疗效和出血风险，选择合适剂量。此外，积极开展患者及其家属宣教，强调按时按量服用</w:t>
      </w:r>
      <w:proofErr w:type="gramStart"/>
      <w:r>
        <w:rPr>
          <w:rFonts w:hint="eastAsia"/>
        </w:rPr>
        <w:t>达比加群酯的</w:t>
      </w:r>
      <w:proofErr w:type="gramEnd"/>
      <w:r>
        <w:rPr>
          <w:rFonts w:hint="eastAsia"/>
        </w:rPr>
        <w:t>必要性，并定期随访，监测服药期间特别是用药前</w:t>
      </w:r>
      <w:r>
        <w:rPr>
          <w:rFonts w:hint="eastAsia"/>
        </w:rPr>
        <w:t>40 d</w:t>
      </w:r>
      <w:r>
        <w:rPr>
          <w:rFonts w:hint="eastAsia"/>
        </w:rPr>
        <w:t>的可疑出血事件及肝、肾功能改变，这是</w:t>
      </w:r>
      <w:proofErr w:type="gramStart"/>
      <w:r>
        <w:rPr>
          <w:rFonts w:hint="eastAsia"/>
        </w:rPr>
        <w:t>达比加群酯安全</w:t>
      </w:r>
      <w:proofErr w:type="gramEnd"/>
      <w:r>
        <w:rPr>
          <w:rFonts w:hint="eastAsia"/>
        </w:rPr>
        <w:t>、有效应用于临床的重要前提。</w:t>
      </w:r>
    </w:p>
    <w:p w:rsidR="005B5FEC" w:rsidRDefault="005B5FEC" w:rsidP="00FA166D">
      <w:pPr>
        <w:pStyle w:val="3"/>
        <w:ind w:firstLine="422"/>
      </w:pPr>
      <w:r>
        <w:rPr>
          <w:rFonts w:hint="eastAsia"/>
        </w:rPr>
        <w:t>参考文献</w:t>
      </w:r>
    </w:p>
    <w:p w:rsidR="005B5FEC" w:rsidRPr="00FA166D" w:rsidRDefault="005B5FEC" w:rsidP="005B5FEC">
      <w:pPr>
        <w:ind w:firstLineChars="200" w:firstLine="400"/>
        <w:rPr>
          <w:sz w:val="20"/>
          <w:szCs w:val="20"/>
        </w:rPr>
      </w:pPr>
      <w:r w:rsidRPr="00FA166D">
        <w:rPr>
          <w:rFonts w:hint="eastAsia"/>
          <w:sz w:val="20"/>
          <w:szCs w:val="20"/>
        </w:rPr>
        <w:t>[1]</w:t>
      </w:r>
      <w:r w:rsidRPr="00FA166D">
        <w:rPr>
          <w:rFonts w:hint="eastAsia"/>
          <w:sz w:val="20"/>
          <w:szCs w:val="20"/>
        </w:rPr>
        <w:t>张剑</w:t>
      </w:r>
      <w:r w:rsidRPr="00FA166D">
        <w:rPr>
          <w:rFonts w:hint="eastAsia"/>
          <w:sz w:val="20"/>
          <w:szCs w:val="20"/>
        </w:rPr>
        <w:t xml:space="preserve">. </w:t>
      </w:r>
      <w:proofErr w:type="gramStart"/>
      <w:r w:rsidRPr="00FA166D">
        <w:rPr>
          <w:rFonts w:hint="eastAsia"/>
          <w:sz w:val="20"/>
          <w:szCs w:val="20"/>
        </w:rPr>
        <w:t>达比加群酯在</w:t>
      </w:r>
      <w:proofErr w:type="gramEnd"/>
      <w:r w:rsidRPr="00FA166D">
        <w:rPr>
          <w:rFonts w:hint="eastAsia"/>
          <w:sz w:val="20"/>
          <w:szCs w:val="20"/>
        </w:rPr>
        <w:t>老年非瓣膜病房</w:t>
      </w:r>
      <w:proofErr w:type="gramStart"/>
      <w:r w:rsidRPr="00FA166D">
        <w:rPr>
          <w:rFonts w:hint="eastAsia"/>
          <w:sz w:val="20"/>
          <w:szCs w:val="20"/>
        </w:rPr>
        <w:t>颤</w:t>
      </w:r>
      <w:proofErr w:type="gramEnd"/>
      <w:r w:rsidRPr="00FA166D">
        <w:rPr>
          <w:rFonts w:hint="eastAsia"/>
          <w:sz w:val="20"/>
          <w:szCs w:val="20"/>
        </w:rPr>
        <w:t>患者中的安全性与有效性研究</w:t>
      </w:r>
      <w:r w:rsidRPr="00FA166D">
        <w:rPr>
          <w:rFonts w:hint="eastAsia"/>
          <w:sz w:val="20"/>
          <w:szCs w:val="20"/>
        </w:rPr>
        <w:t xml:space="preserve">[J]. </w:t>
      </w:r>
      <w:r w:rsidRPr="00FA166D">
        <w:rPr>
          <w:rFonts w:hint="eastAsia"/>
          <w:sz w:val="20"/>
          <w:szCs w:val="20"/>
        </w:rPr>
        <w:t>南通大学学报</w:t>
      </w:r>
      <w:r w:rsidRPr="00FA166D">
        <w:rPr>
          <w:rFonts w:hint="eastAsia"/>
          <w:sz w:val="20"/>
          <w:szCs w:val="20"/>
        </w:rPr>
        <w:t>(</w:t>
      </w:r>
      <w:r w:rsidRPr="00FA166D">
        <w:rPr>
          <w:rFonts w:hint="eastAsia"/>
          <w:sz w:val="20"/>
          <w:szCs w:val="20"/>
        </w:rPr>
        <w:t>医学版</w:t>
      </w:r>
      <w:r w:rsidRPr="00FA166D">
        <w:rPr>
          <w:rFonts w:hint="eastAsia"/>
          <w:sz w:val="20"/>
          <w:szCs w:val="20"/>
        </w:rPr>
        <w:t xml:space="preserve">),2017,37(03):271-273. </w:t>
      </w:r>
    </w:p>
    <w:p w:rsidR="005B5FEC" w:rsidRPr="00FA166D" w:rsidRDefault="005B5FEC" w:rsidP="005B5FEC">
      <w:pPr>
        <w:tabs>
          <w:tab w:val="left" w:pos="1818"/>
        </w:tabs>
        <w:ind w:firstLineChars="200" w:firstLine="400"/>
        <w:rPr>
          <w:sz w:val="20"/>
          <w:szCs w:val="20"/>
        </w:rPr>
      </w:pPr>
      <w:r w:rsidRPr="00FA166D">
        <w:rPr>
          <w:rFonts w:ascii="宋体" w:hAnsi="宋体" w:cs="宋体"/>
          <w:sz w:val="20"/>
          <w:szCs w:val="20"/>
        </w:rPr>
        <w:t>[</w:t>
      </w:r>
      <w:r w:rsidRPr="00FA166D">
        <w:rPr>
          <w:rFonts w:ascii="宋体" w:hAnsi="宋体" w:cs="宋体" w:hint="eastAsia"/>
          <w:sz w:val="20"/>
          <w:szCs w:val="20"/>
        </w:rPr>
        <w:t>2</w:t>
      </w:r>
      <w:r w:rsidRPr="00FA166D">
        <w:rPr>
          <w:rFonts w:ascii="宋体" w:hAnsi="宋体" w:cs="宋体"/>
          <w:sz w:val="20"/>
          <w:szCs w:val="20"/>
        </w:rPr>
        <w:t>]</w:t>
      </w:r>
      <w:r w:rsidRPr="00FA166D">
        <w:rPr>
          <w:rFonts w:hint="eastAsia"/>
          <w:sz w:val="20"/>
          <w:szCs w:val="20"/>
        </w:rPr>
        <w:t>曾莉莉</w:t>
      </w:r>
      <w:r w:rsidRPr="00FA166D">
        <w:rPr>
          <w:rFonts w:hint="eastAsia"/>
          <w:sz w:val="20"/>
          <w:szCs w:val="20"/>
        </w:rPr>
        <w:t>,</w:t>
      </w:r>
      <w:r w:rsidRPr="00FA166D">
        <w:rPr>
          <w:rFonts w:hint="eastAsia"/>
          <w:sz w:val="20"/>
          <w:szCs w:val="20"/>
        </w:rPr>
        <w:t>张云琛</w:t>
      </w:r>
      <w:r w:rsidRPr="00FA166D">
        <w:rPr>
          <w:rFonts w:hint="eastAsia"/>
          <w:sz w:val="20"/>
          <w:szCs w:val="20"/>
        </w:rPr>
        <w:t>,</w:t>
      </w:r>
      <w:r w:rsidRPr="00FA166D">
        <w:rPr>
          <w:rFonts w:hint="eastAsia"/>
          <w:sz w:val="20"/>
          <w:szCs w:val="20"/>
        </w:rPr>
        <w:t>陈惠弟</w:t>
      </w:r>
      <w:r w:rsidRPr="00FA166D">
        <w:rPr>
          <w:rFonts w:hint="eastAsia"/>
          <w:sz w:val="20"/>
          <w:szCs w:val="20"/>
        </w:rPr>
        <w:t>,</w:t>
      </w:r>
      <w:r w:rsidRPr="00FA166D">
        <w:rPr>
          <w:rFonts w:hint="eastAsia"/>
          <w:sz w:val="20"/>
          <w:szCs w:val="20"/>
        </w:rPr>
        <w:t>赵佳丽</w:t>
      </w:r>
      <w:r w:rsidRPr="00FA166D">
        <w:rPr>
          <w:rFonts w:hint="eastAsia"/>
          <w:sz w:val="20"/>
          <w:szCs w:val="20"/>
        </w:rPr>
        <w:t xml:space="preserve">. </w:t>
      </w:r>
      <w:r w:rsidRPr="00FA166D">
        <w:rPr>
          <w:rFonts w:hint="eastAsia"/>
          <w:sz w:val="20"/>
          <w:szCs w:val="20"/>
        </w:rPr>
        <w:t>达比加</w:t>
      </w:r>
      <w:proofErr w:type="gramStart"/>
      <w:r w:rsidRPr="00FA166D">
        <w:rPr>
          <w:rFonts w:hint="eastAsia"/>
          <w:sz w:val="20"/>
          <w:szCs w:val="20"/>
        </w:rPr>
        <w:t>群酯用于</w:t>
      </w:r>
      <w:proofErr w:type="gramEnd"/>
      <w:r w:rsidRPr="00FA166D">
        <w:rPr>
          <w:rFonts w:hint="eastAsia"/>
          <w:sz w:val="20"/>
          <w:szCs w:val="20"/>
        </w:rPr>
        <w:t>预防心房颤动患者脑卒中时致消化道出血的危险因素与预防措施</w:t>
      </w:r>
      <w:r w:rsidRPr="00FA166D">
        <w:rPr>
          <w:rFonts w:hint="eastAsia"/>
          <w:sz w:val="20"/>
          <w:szCs w:val="20"/>
        </w:rPr>
        <w:t xml:space="preserve">[J]. </w:t>
      </w:r>
      <w:r w:rsidRPr="00FA166D">
        <w:rPr>
          <w:rFonts w:hint="eastAsia"/>
          <w:sz w:val="20"/>
          <w:szCs w:val="20"/>
        </w:rPr>
        <w:t>中国新药与临床杂志</w:t>
      </w:r>
      <w:r w:rsidRPr="00FA166D">
        <w:rPr>
          <w:rFonts w:hint="eastAsia"/>
          <w:sz w:val="20"/>
          <w:szCs w:val="20"/>
        </w:rPr>
        <w:t>,2016,35(04):248-251.</w:t>
      </w:r>
    </w:p>
    <w:p w:rsidR="005B5FEC" w:rsidRPr="00FA166D" w:rsidRDefault="005B5FEC" w:rsidP="005B5FEC">
      <w:pPr>
        <w:tabs>
          <w:tab w:val="left" w:pos="1818"/>
        </w:tabs>
        <w:ind w:firstLineChars="200" w:firstLine="400"/>
        <w:jc w:val="left"/>
        <w:rPr>
          <w:sz w:val="20"/>
          <w:szCs w:val="20"/>
        </w:rPr>
      </w:pPr>
      <w:r w:rsidRPr="00FA166D">
        <w:rPr>
          <w:rFonts w:hint="eastAsia"/>
          <w:sz w:val="20"/>
          <w:szCs w:val="20"/>
        </w:rPr>
        <w:t>[3]</w:t>
      </w:r>
      <w:r w:rsidRPr="00FA166D">
        <w:rPr>
          <w:rFonts w:hint="eastAsia"/>
          <w:sz w:val="20"/>
          <w:szCs w:val="20"/>
        </w:rPr>
        <w:t>孙秀波</w:t>
      </w:r>
      <w:r w:rsidRPr="00FA166D">
        <w:rPr>
          <w:rFonts w:hint="eastAsia"/>
          <w:sz w:val="20"/>
          <w:szCs w:val="20"/>
        </w:rPr>
        <w:t>,</w:t>
      </w:r>
      <w:proofErr w:type="gramStart"/>
      <w:r w:rsidRPr="00FA166D">
        <w:rPr>
          <w:rFonts w:hint="eastAsia"/>
          <w:sz w:val="20"/>
          <w:szCs w:val="20"/>
        </w:rPr>
        <w:t>铁远</w:t>
      </w:r>
      <w:proofErr w:type="gramEnd"/>
      <w:r w:rsidRPr="00FA166D">
        <w:rPr>
          <w:rFonts w:hint="eastAsia"/>
          <w:sz w:val="20"/>
          <w:szCs w:val="20"/>
        </w:rPr>
        <w:t>,</w:t>
      </w:r>
      <w:r w:rsidRPr="00FA166D">
        <w:rPr>
          <w:rFonts w:hint="eastAsia"/>
          <w:sz w:val="20"/>
          <w:szCs w:val="20"/>
        </w:rPr>
        <w:t>陈晴</w:t>
      </w:r>
      <w:r w:rsidRPr="00FA166D">
        <w:rPr>
          <w:rFonts w:hint="eastAsia"/>
          <w:sz w:val="20"/>
          <w:szCs w:val="20"/>
        </w:rPr>
        <w:t>,</w:t>
      </w:r>
      <w:r w:rsidRPr="00FA166D">
        <w:rPr>
          <w:rFonts w:hint="eastAsia"/>
          <w:sz w:val="20"/>
          <w:szCs w:val="20"/>
        </w:rPr>
        <w:t>何祎晨</w:t>
      </w:r>
      <w:r w:rsidRPr="00FA166D">
        <w:rPr>
          <w:rFonts w:hint="eastAsia"/>
          <w:sz w:val="20"/>
          <w:szCs w:val="20"/>
        </w:rPr>
        <w:t>,</w:t>
      </w:r>
      <w:r w:rsidRPr="00FA166D">
        <w:rPr>
          <w:rFonts w:hint="eastAsia"/>
          <w:sz w:val="20"/>
          <w:szCs w:val="20"/>
        </w:rPr>
        <w:t>刘蕾</w:t>
      </w:r>
      <w:r w:rsidRPr="00FA166D">
        <w:rPr>
          <w:rFonts w:hint="eastAsia"/>
          <w:sz w:val="20"/>
          <w:szCs w:val="20"/>
        </w:rPr>
        <w:t xml:space="preserve">. </w:t>
      </w:r>
      <w:proofErr w:type="gramStart"/>
      <w:r w:rsidRPr="00FA166D">
        <w:rPr>
          <w:rFonts w:hint="eastAsia"/>
          <w:sz w:val="20"/>
          <w:szCs w:val="20"/>
        </w:rPr>
        <w:t>达比加群酯抗凝</w:t>
      </w:r>
      <w:proofErr w:type="gramEnd"/>
      <w:r w:rsidRPr="00FA166D">
        <w:rPr>
          <w:rFonts w:hint="eastAsia"/>
          <w:sz w:val="20"/>
          <w:szCs w:val="20"/>
        </w:rPr>
        <w:t>治疗安全性的系统评价</w:t>
      </w:r>
      <w:r w:rsidRPr="00FA166D">
        <w:rPr>
          <w:rFonts w:hint="eastAsia"/>
          <w:sz w:val="20"/>
          <w:szCs w:val="20"/>
        </w:rPr>
        <w:t>[J].</w:t>
      </w:r>
      <w:r w:rsidRPr="00FA166D">
        <w:rPr>
          <w:rFonts w:hint="eastAsia"/>
          <w:sz w:val="20"/>
          <w:szCs w:val="20"/>
        </w:rPr>
        <w:t>中国临床药理学杂志，</w:t>
      </w:r>
      <w:r w:rsidRPr="00FA166D">
        <w:rPr>
          <w:rFonts w:hint="eastAsia"/>
          <w:sz w:val="20"/>
          <w:szCs w:val="20"/>
        </w:rPr>
        <w:t>2015,31(24):2465-2467+</w:t>
      </w:r>
      <w:proofErr w:type="gramStart"/>
      <w:r w:rsidRPr="00FA166D">
        <w:rPr>
          <w:rFonts w:hint="eastAsia"/>
          <w:sz w:val="20"/>
          <w:szCs w:val="20"/>
        </w:rPr>
        <w:t>2470.[</w:t>
      </w:r>
      <w:proofErr w:type="gramEnd"/>
      <w:r w:rsidRPr="00FA166D">
        <w:rPr>
          <w:rFonts w:hint="eastAsia"/>
          <w:sz w:val="20"/>
          <w:szCs w:val="20"/>
        </w:rPr>
        <w:t>2017-09-17].</w:t>
      </w:r>
    </w:p>
    <w:p w:rsidR="005B5FEC" w:rsidRPr="00FA166D" w:rsidRDefault="005B5FEC" w:rsidP="005B5FEC">
      <w:pPr>
        <w:tabs>
          <w:tab w:val="left" w:pos="1818"/>
        </w:tabs>
        <w:ind w:firstLineChars="200" w:firstLine="400"/>
        <w:jc w:val="left"/>
        <w:rPr>
          <w:sz w:val="20"/>
          <w:szCs w:val="20"/>
        </w:rPr>
      </w:pPr>
      <w:r w:rsidRPr="00FA166D">
        <w:rPr>
          <w:rFonts w:hint="eastAsia"/>
          <w:sz w:val="20"/>
          <w:szCs w:val="20"/>
        </w:rPr>
        <w:t>[4]</w:t>
      </w:r>
      <w:r w:rsidRPr="00FA166D">
        <w:rPr>
          <w:rFonts w:hint="eastAsia"/>
          <w:sz w:val="20"/>
          <w:szCs w:val="20"/>
        </w:rPr>
        <w:t>黄华文</w:t>
      </w:r>
      <w:r w:rsidRPr="00FA166D">
        <w:rPr>
          <w:rFonts w:hint="eastAsia"/>
          <w:sz w:val="20"/>
          <w:szCs w:val="20"/>
        </w:rPr>
        <w:t>,</w:t>
      </w:r>
      <w:r w:rsidRPr="00FA166D">
        <w:rPr>
          <w:rFonts w:hint="eastAsia"/>
          <w:sz w:val="20"/>
          <w:szCs w:val="20"/>
        </w:rPr>
        <w:t>秦锡祥</w:t>
      </w:r>
      <w:r w:rsidRPr="00FA166D">
        <w:rPr>
          <w:rFonts w:hint="eastAsia"/>
          <w:sz w:val="20"/>
          <w:szCs w:val="20"/>
        </w:rPr>
        <w:t xml:space="preserve">. </w:t>
      </w:r>
      <w:proofErr w:type="gramStart"/>
      <w:r w:rsidRPr="00FA166D">
        <w:rPr>
          <w:rFonts w:hint="eastAsia"/>
          <w:sz w:val="20"/>
          <w:szCs w:val="20"/>
        </w:rPr>
        <w:t>达比加群酯预防性</w:t>
      </w:r>
      <w:proofErr w:type="gramEnd"/>
      <w:r w:rsidRPr="00FA166D">
        <w:rPr>
          <w:rFonts w:hint="eastAsia"/>
          <w:sz w:val="20"/>
          <w:szCs w:val="20"/>
        </w:rPr>
        <w:t>抗凝治疗老年非瓣膜性心房</w:t>
      </w:r>
      <w:proofErr w:type="gramStart"/>
      <w:r w:rsidRPr="00FA166D">
        <w:rPr>
          <w:rFonts w:hint="eastAsia"/>
          <w:sz w:val="20"/>
          <w:szCs w:val="20"/>
        </w:rPr>
        <w:t>纤</w:t>
      </w:r>
      <w:proofErr w:type="gramEnd"/>
      <w:r w:rsidRPr="00FA166D">
        <w:rPr>
          <w:rFonts w:hint="eastAsia"/>
          <w:sz w:val="20"/>
          <w:szCs w:val="20"/>
        </w:rPr>
        <w:t>颤</w:t>
      </w:r>
      <w:r w:rsidRPr="00FA166D">
        <w:rPr>
          <w:rFonts w:hint="eastAsia"/>
          <w:sz w:val="20"/>
          <w:szCs w:val="20"/>
        </w:rPr>
        <w:t>30</w:t>
      </w:r>
      <w:r w:rsidRPr="00FA166D">
        <w:rPr>
          <w:rFonts w:hint="eastAsia"/>
          <w:sz w:val="20"/>
          <w:szCs w:val="20"/>
        </w:rPr>
        <w:t>例临床观察</w:t>
      </w:r>
      <w:r w:rsidRPr="00FA166D">
        <w:rPr>
          <w:rFonts w:hint="eastAsia"/>
          <w:sz w:val="20"/>
          <w:szCs w:val="20"/>
        </w:rPr>
        <w:t xml:space="preserve">[J/OL]. </w:t>
      </w:r>
      <w:r w:rsidRPr="00FA166D">
        <w:rPr>
          <w:rFonts w:hint="eastAsia"/>
          <w:sz w:val="20"/>
          <w:szCs w:val="20"/>
        </w:rPr>
        <w:t>广东医学院学报</w:t>
      </w:r>
      <w:r w:rsidRPr="00FA166D">
        <w:rPr>
          <w:rFonts w:hint="eastAsia"/>
          <w:sz w:val="20"/>
          <w:szCs w:val="20"/>
        </w:rPr>
        <w:t>,2016,34(03):282-284. (2016-07-19)</w:t>
      </w:r>
    </w:p>
    <w:p w:rsidR="005B5FEC" w:rsidRPr="00FA166D" w:rsidRDefault="005B5FEC" w:rsidP="005B5FEC">
      <w:pPr>
        <w:tabs>
          <w:tab w:val="left" w:pos="1818"/>
        </w:tabs>
        <w:ind w:firstLineChars="200" w:firstLine="400"/>
        <w:jc w:val="left"/>
        <w:rPr>
          <w:sz w:val="20"/>
          <w:szCs w:val="20"/>
        </w:rPr>
      </w:pPr>
      <w:r w:rsidRPr="00FA166D">
        <w:rPr>
          <w:rFonts w:hint="eastAsia"/>
          <w:sz w:val="20"/>
          <w:szCs w:val="20"/>
        </w:rPr>
        <w:t>[5]</w:t>
      </w:r>
      <w:r w:rsidRPr="00FA166D">
        <w:rPr>
          <w:rFonts w:hint="eastAsia"/>
          <w:sz w:val="20"/>
          <w:szCs w:val="20"/>
        </w:rPr>
        <w:t>梁羡方</w:t>
      </w:r>
      <w:r w:rsidRPr="00FA166D">
        <w:rPr>
          <w:rFonts w:hint="eastAsia"/>
          <w:sz w:val="20"/>
          <w:szCs w:val="20"/>
        </w:rPr>
        <w:t>,</w:t>
      </w:r>
      <w:r w:rsidRPr="00FA166D">
        <w:rPr>
          <w:rFonts w:hint="eastAsia"/>
          <w:sz w:val="20"/>
          <w:szCs w:val="20"/>
        </w:rPr>
        <w:t>赵新军</w:t>
      </w:r>
      <w:r w:rsidRPr="00FA166D">
        <w:rPr>
          <w:rFonts w:hint="eastAsia"/>
          <w:sz w:val="20"/>
          <w:szCs w:val="20"/>
        </w:rPr>
        <w:t>,</w:t>
      </w:r>
      <w:r w:rsidRPr="00FA166D">
        <w:rPr>
          <w:rFonts w:hint="eastAsia"/>
          <w:sz w:val="20"/>
          <w:szCs w:val="20"/>
        </w:rPr>
        <w:t>谢绍洽</w:t>
      </w:r>
      <w:r w:rsidRPr="00FA166D">
        <w:rPr>
          <w:rFonts w:hint="eastAsia"/>
          <w:sz w:val="20"/>
          <w:szCs w:val="20"/>
        </w:rPr>
        <w:t>,</w:t>
      </w:r>
      <w:proofErr w:type="gramStart"/>
      <w:r w:rsidRPr="00FA166D">
        <w:rPr>
          <w:rFonts w:hint="eastAsia"/>
          <w:sz w:val="20"/>
          <w:szCs w:val="20"/>
        </w:rPr>
        <w:t>陈彩仙</w:t>
      </w:r>
      <w:proofErr w:type="gramEnd"/>
      <w:r w:rsidRPr="00FA166D">
        <w:rPr>
          <w:rFonts w:hint="eastAsia"/>
          <w:sz w:val="20"/>
          <w:szCs w:val="20"/>
        </w:rPr>
        <w:t xml:space="preserve">. </w:t>
      </w:r>
      <w:r w:rsidRPr="00FA166D">
        <w:rPr>
          <w:rFonts w:hint="eastAsia"/>
          <w:sz w:val="20"/>
          <w:szCs w:val="20"/>
        </w:rPr>
        <w:t>达比加</w:t>
      </w:r>
      <w:proofErr w:type="gramStart"/>
      <w:r w:rsidRPr="00FA166D">
        <w:rPr>
          <w:rFonts w:hint="eastAsia"/>
          <w:sz w:val="20"/>
          <w:szCs w:val="20"/>
        </w:rPr>
        <w:t>群酯联合</w:t>
      </w:r>
      <w:proofErr w:type="gramEnd"/>
      <w:r w:rsidRPr="00FA166D">
        <w:rPr>
          <w:rFonts w:hint="eastAsia"/>
          <w:sz w:val="20"/>
          <w:szCs w:val="20"/>
        </w:rPr>
        <w:t>阿司匹林片治疗非瓣膜</w:t>
      </w:r>
      <w:proofErr w:type="gramStart"/>
      <w:r w:rsidRPr="00FA166D">
        <w:rPr>
          <w:rFonts w:hint="eastAsia"/>
          <w:sz w:val="20"/>
          <w:szCs w:val="20"/>
        </w:rPr>
        <w:t>性房颤患者</w:t>
      </w:r>
      <w:proofErr w:type="gramEnd"/>
      <w:r w:rsidRPr="00FA166D">
        <w:rPr>
          <w:rFonts w:hint="eastAsia"/>
          <w:sz w:val="20"/>
          <w:szCs w:val="20"/>
        </w:rPr>
        <w:t>的疗效和安全性</w:t>
      </w:r>
      <w:r w:rsidRPr="00FA166D">
        <w:rPr>
          <w:rFonts w:hint="eastAsia"/>
          <w:sz w:val="20"/>
          <w:szCs w:val="20"/>
        </w:rPr>
        <w:t xml:space="preserve">[J/OL]. </w:t>
      </w:r>
      <w:r w:rsidRPr="00FA166D">
        <w:rPr>
          <w:rFonts w:hint="eastAsia"/>
          <w:sz w:val="20"/>
          <w:szCs w:val="20"/>
        </w:rPr>
        <w:t>心脏杂志</w:t>
      </w:r>
      <w:r w:rsidRPr="00FA166D">
        <w:rPr>
          <w:rFonts w:hint="eastAsia"/>
          <w:sz w:val="20"/>
          <w:szCs w:val="20"/>
        </w:rPr>
        <w:t>,2015,27(05):560-564. (2015-04-17)</w:t>
      </w:r>
    </w:p>
    <w:p w:rsidR="005B5FEC" w:rsidRPr="00FA166D" w:rsidRDefault="005B5FEC" w:rsidP="005B5FEC">
      <w:pPr>
        <w:tabs>
          <w:tab w:val="left" w:pos="1818"/>
        </w:tabs>
        <w:ind w:firstLineChars="200" w:firstLine="400"/>
        <w:jc w:val="left"/>
        <w:rPr>
          <w:sz w:val="20"/>
          <w:szCs w:val="20"/>
        </w:rPr>
      </w:pPr>
      <w:r w:rsidRPr="00FA166D">
        <w:rPr>
          <w:rFonts w:hint="eastAsia"/>
          <w:sz w:val="20"/>
          <w:szCs w:val="20"/>
        </w:rPr>
        <w:t>[6]</w:t>
      </w:r>
      <w:r w:rsidRPr="00FA166D">
        <w:rPr>
          <w:rFonts w:hint="eastAsia"/>
          <w:sz w:val="20"/>
          <w:szCs w:val="20"/>
        </w:rPr>
        <w:t>张卫芳</w:t>
      </w:r>
      <w:r w:rsidRPr="00FA166D">
        <w:rPr>
          <w:rFonts w:hint="eastAsia"/>
          <w:sz w:val="20"/>
          <w:szCs w:val="20"/>
        </w:rPr>
        <w:t>,</w:t>
      </w:r>
      <w:r w:rsidRPr="00FA166D">
        <w:rPr>
          <w:rFonts w:hint="eastAsia"/>
          <w:sz w:val="20"/>
          <w:szCs w:val="20"/>
        </w:rPr>
        <w:t>陆社桂</w:t>
      </w:r>
      <w:r w:rsidRPr="00FA166D">
        <w:rPr>
          <w:rFonts w:hint="eastAsia"/>
          <w:sz w:val="20"/>
          <w:szCs w:val="20"/>
        </w:rPr>
        <w:t>,</w:t>
      </w:r>
      <w:r w:rsidRPr="00FA166D">
        <w:rPr>
          <w:rFonts w:hint="eastAsia"/>
          <w:sz w:val="20"/>
          <w:szCs w:val="20"/>
        </w:rPr>
        <w:t>熊淑华</w:t>
      </w:r>
      <w:r w:rsidRPr="00FA166D">
        <w:rPr>
          <w:rFonts w:hint="eastAsia"/>
          <w:sz w:val="20"/>
          <w:szCs w:val="20"/>
        </w:rPr>
        <w:t>,</w:t>
      </w:r>
      <w:r w:rsidRPr="00FA166D">
        <w:rPr>
          <w:rFonts w:hint="eastAsia"/>
          <w:sz w:val="20"/>
          <w:szCs w:val="20"/>
        </w:rPr>
        <w:t>徐睿来</w:t>
      </w:r>
      <w:r w:rsidRPr="00FA166D">
        <w:rPr>
          <w:rFonts w:hint="eastAsia"/>
          <w:sz w:val="20"/>
          <w:szCs w:val="20"/>
        </w:rPr>
        <w:t>,</w:t>
      </w:r>
      <w:r w:rsidRPr="00FA166D">
        <w:rPr>
          <w:rFonts w:hint="eastAsia"/>
          <w:sz w:val="20"/>
          <w:szCs w:val="20"/>
        </w:rPr>
        <w:t>熊爱珍</w:t>
      </w:r>
      <w:r w:rsidRPr="00FA166D">
        <w:rPr>
          <w:rFonts w:hint="eastAsia"/>
          <w:sz w:val="20"/>
          <w:szCs w:val="20"/>
        </w:rPr>
        <w:t>,</w:t>
      </w:r>
      <w:r w:rsidRPr="00FA166D">
        <w:rPr>
          <w:rFonts w:hint="eastAsia"/>
          <w:sz w:val="20"/>
          <w:szCs w:val="20"/>
        </w:rPr>
        <w:t>程晓曙</w:t>
      </w:r>
      <w:r w:rsidRPr="00FA166D">
        <w:rPr>
          <w:rFonts w:hint="eastAsia"/>
          <w:sz w:val="20"/>
          <w:szCs w:val="20"/>
        </w:rPr>
        <w:t xml:space="preserve">. </w:t>
      </w:r>
      <w:r w:rsidRPr="00FA166D">
        <w:rPr>
          <w:rFonts w:hint="eastAsia"/>
          <w:sz w:val="20"/>
          <w:szCs w:val="20"/>
        </w:rPr>
        <w:t>达比加</w:t>
      </w:r>
      <w:proofErr w:type="gramStart"/>
      <w:r w:rsidRPr="00FA166D">
        <w:rPr>
          <w:rFonts w:hint="eastAsia"/>
          <w:sz w:val="20"/>
          <w:szCs w:val="20"/>
        </w:rPr>
        <w:t>群酯联合塞来昔布致</w:t>
      </w:r>
      <w:proofErr w:type="gramEnd"/>
      <w:r w:rsidRPr="00FA166D">
        <w:rPr>
          <w:rFonts w:hint="eastAsia"/>
          <w:sz w:val="20"/>
          <w:szCs w:val="20"/>
        </w:rPr>
        <w:t>上消化道出血</w:t>
      </w:r>
      <w:r w:rsidRPr="00FA166D">
        <w:rPr>
          <w:rFonts w:hint="eastAsia"/>
          <w:sz w:val="20"/>
          <w:szCs w:val="20"/>
        </w:rPr>
        <w:t>1</w:t>
      </w:r>
      <w:r w:rsidRPr="00FA166D">
        <w:rPr>
          <w:rFonts w:hint="eastAsia"/>
          <w:sz w:val="20"/>
          <w:szCs w:val="20"/>
        </w:rPr>
        <w:t>例</w:t>
      </w:r>
      <w:r w:rsidRPr="00FA166D">
        <w:rPr>
          <w:rFonts w:hint="eastAsia"/>
          <w:sz w:val="20"/>
          <w:szCs w:val="20"/>
        </w:rPr>
        <w:t xml:space="preserve">[J]. </w:t>
      </w:r>
      <w:r w:rsidRPr="00FA166D">
        <w:rPr>
          <w:rFonts w:hint="eastAsia"/>
          <w:sz w:val="20"/>
          <w:szCs w:val="20"/>
        </w:rPr>
        <w:t>中国新药与临床杂志</w:t>
      </w:r>
      <w:r w:rsidRPr="00FA166D">
        <w:rPr>
          <w:rFonts w:hint="eastAsia"/>
          <w:sz w:val="20"/>
          <w:szCs w:val="20"/>
        </w:rPr>
        <w:t>,2016,35(08):596-598.</w:t>
      </w:r>
    </w:p>
    <w:p w:rsidR="005B5FEC" w:rsidRPr="00FA166D" w:rsidRDefault="005B5FEC" w:rsidP="005B5FEC">
      <w:pPr>
        <w:ind w:firstLineChars="200" w:firstLine="400"/>
        <w:rPr>
          <w:sz w:val="20"/>
          <w:szCs w:val="20"/>
        </w:rPr>
      </w:pPr>
      <w:r w:rsidRPr="00FA166D">
        <w:rPr>
          <w:rFonts w:hint="eastAsia"/>
          <w:sz w:val="20"/>
          <w:szCs w:val="20"/>
        </w:rPr>
        <w:t>[7]</w:t>
      </w:r>
      <w:r w:rsidRPr="00FA166D">
        <w:rPr>
          <w:rFonts w:hint="eastAsia"/>
          <w:sz w:val="20"/>
          <w:szCs w:val="20"/>
        </w:rPr>
        <w:t>黄琼</w:t>
      </w:r>
      <w:r w:rsidRPr="00FA166D">
        <w:rPr>
          <w:rFonts w:hint="eastAsia"/>
          <w:sz w:val="20"/>
          <w:szCs w:val="20"/>
        </w:rPr>
        <w:t>,</w:t>
      </w:r>
      <w:r w:rsidRPr="00FA166D">
        <w:rPr>
          <w:rFonts w:hint="eastAsia"/>
          <w:sz w:val="20"/>
          <w:szCs w:val="20"/>
        </w:rPr>
        <w:t>袁义强</w:t>
      </w:r>
      <w:r w:rsidRPr="00FA166D">
        <w:rPr>
          <w:rFonts w:hint="eastAsia"/>
          <w:sz w:val="20"/>
          <w:szCs w:val="20"/>
        </w:rPr>
        <w:t>,</w:t>
      </w:r>
      <w:r w:rsidRPr="00FA166D">
        <w:rPr>
          <w:rFonts w:hint="eastAsia"/>
          <w:sz w:val="20"/>
          <w:szCs w:val="20"/>
        </w:rPr>
        <w:t>毛幼林</w:t>
      </w:r>
      <w:r w:rsidRPr="00FA166D">
        <w:rPr>
          <w:rFonts w:hint="eastAsia"/>
          <w:sz w:val="20"/>
          <w:szCs w:val="20"/>
        </w:rPr>
        <w:t xml:space="preserve">. </w:t>
      </w:r>
      <w:r w:rsidRPr="00FA166D">
        <w:rPr>
          <w:rFonts w:hint="eastAsia"/>
          <w:sz w:val="20"/>
          <w:szCs w:val="20"/>
        </w:rPr>
        <w:t>达比加</w:t>
      </w:r>
      <w:proofErr w:type="gramStart"/>
      <w:r w:rsidRPr="00FA166D">
        <w:rPr>
          <w:rFonts w:hint="eastAsia"/>
          <w:sz w:val="20"/>
          <w:szCs w:val="20"/>
        </w:rPr>
        <w:t>群酯用于</w:t>
      </w:r>
      <w:proofErr w:type="gramEnd"/>
      <w:r w:rsidRPr="00FA166D">
        <w:rPr>
          <w:rFonts w:hint="eastAsia"/>
          <w:sz w:val="20"/>
          <w:szCs w:val="20"/>
        </w:rPr>
        <w:t>房颤导管消融术后抗凝治疗的临床研究</w:t>
      </w:r>
      <w:r w:rsidRPr="00FA166D">
        <w:rPr>
          <w:rFonts w:hint="eastAsia"/>
          <w:sz w:val="20"/>
          <w:szCs w:val="20"/>
        </w:rPr>
        <w:t xml:space="preserve">[J]. </w:t>
      </w:r>
      <w:r w:rsidRPr="00FA166D">
        <w:rPr>
          <w:rFonts w:hint="eastAsia"/>
          <w:sz w:val="20"/>
          <w:szCs w:val="20"/>
        </w:rPr>
        <w:t>中国实用医药</w:t>
      </w:r>
      <w:r w:rsidRPr="00FA166D">
        <w:rPr>
          <w:rFonts w:hint="eastAsia"/>
          <w:sz w:val="20"/>
          <w:szCs w:val="20"/>
        </w:rPr>
        <w:t>,2015,10(21):177-178.</w:t>
      </w:r>
    </w:p>
    <w:p w:rsidR="00FA166D" w:rsidRPr="00FA166D" w:rsidRDefault="00FA166D" w:rsidP="00FA166D"/>
    <w:p w:rsidR="00FA166D" w:rsidRDefault="00FA166D" w:rsidP="00FA166D">
      <w:pPr>
        <w:pStyle w:val="2"/>
        <w:rPr>
          <w:rFonts w:ascii="黑体" w:eastAsia="黑体" w:hAnsi="黑体"/>
          <w:sz w:val="36"/>
          <w:szCs w:val="36"/>
        </w:rPr>
      </w:pPr>
      <w:bookmarkStart w:id="17" w:name="_Toc6476547"/>
      <w:r>
        <w:rPr>
          <w:rFonts w:ascii="黑体" w:eastAsia="黑体" w:hAnsi="黑体" w:hint="eastAsia"/>
          <w:sz w:val="36"/>
          <w:szCs w:val="36"/>
        </w:rPr>
        <w:lastRenderedPageBreak/>
        <w:t>牛奶味中药伴侣的配方筛选与验证</w:t>
      </w:r>
      <w:bookmarkEnd w:id="17"/>
    </w:p>
    <w:p w:rsidR="00FA166D" w:rsidRDefault="00FA166D" w:rsidP="00FA166D">
      <w:pPr>
        <w:spacing w:line="220" w:lineRule="atLeast"/>
        <w:jc w:val="center"/>
        <w:rPr>
          <w:rFonts w:ascii="黑体" w:eastAsia="黑体" w:hAnsi="黑体" w:cs="宋体"/>
          <w:color w:val="000000"/>
          <w:sz w:val="24"/>
          <w:szCs w:val="24"/>
        </w:rPr>
      </w:pPr>
      <w:r>
        <w:rPr>
          <w:rFonts w:ascii="黑体" w:eastAsia="黑体" w:hAnsi="黑体" w:hint="eastAsia"/>
          <w:sz w:val="24"/>
          <w:szCs w:val="24"/>
        </w:rPr>
        <w:t>桂新景</w:t>
      </w:r>
    </w:p>
    <w:p w:rsidR="00FA166D" w:rsidRPr="00FA166D" w:rsidRDefault="00FA166D" w:rsidP="00FA166D">
      <w:pPr>
        <w:spacing w:line="360" w:lineRule="auto"/>
        <w:rPr>
          <w:rFonts w:asciiTheme="minorEastAsia" w:eastAsiaTheme="minorEastAsia" w:hAnsiTheme="minorEastAsia"/>
        </w:rPr>
      </w:pPr>
      <w:r w:rsidRPr="00FA166D">
        <w:rPr>
          <w:rFonts w:asciiTheme="minorEastAsia" w:eastAsiaTheme="minorEastAsia" w:hAnsiTheme="minorEastAsia" w:hint="eastAsia"/>
          <w:b/>
        </w:rPr>
        <w:t>摘要</w:t>
      </w:r>
      <w:r w:rsidRPr="00FA166D">
        <w:rPr>
          <w:rFonts w:asciiTheme="minorEastAsia" w:eastAsiaTheme="minorEastAsia" w:hAnsiTheme="minorEastAsia" w:cs="Times New Roman" w:hint="eastAsia"/>
          <w:b/>
        </w:rPr>
        <w:t>：</w:t>
      </w:r>
      <w:r w:rsidRPr="00FA166D">
        <w:rPr>
          <w:rFonts w:asciiTheme="minorEastAsia" w:eastAsiaTheme="minorEastAsia" w:hAnsiTheme="minorEastAsia" w:cs="Times New Roman" w:hint="eastAsia"/>
        </w:rPr>
        <w:t>目的：筛选出牛奶味中药伴侣的最优配方。方法：实验</w:t>
      </w:r>
      <w:proofErr w:type="gramStart"/>
      <w:r w:rsidRPr="00FA166D">
        <w:rPr>
          <w:rFonts w:asciiTheme="minorEastAsia" w:eastAsiaTheme="minorEastAsia" w:hAnsiTheme="minorEastAsia" w:cs="Times New Roman" w:hint="eastAsia"/>
        </w:rPr>
        <w:t>分为抑苦增甜</w:t>
      </w:r>
      <w:proofErr w:type="gramEnd"/>
      <w:r w:rsidRPr="00FA166D">
        <w:rPr>
          <w:rFonts w:asciiTheme="minorEastAsia" w:eastAsiaTheme="minorEastAsia" w:hAnsiTheme="minorEastAsia" w:cs="Times New Roman" w:hint="eastAsia"/>
        </w:rPr>
        <w:t>、加香调味和验证三个步骤。</w:t>
      </w:r>
      <w:proofErr w:type="gramStart"/>
      <w:r w:rsidRPr="00FA166D">
        <w:rPr>
          <w:rFonts w:asciiTheme="minorEastAsia" w:eastAsiaTheme="minorEastAsia" w:hAnsiTheme="minorEastAsia" w:cs="Times New Roman" w:hint="eastAsia"/>
        </w:rPr>
        <w:t>抑苦部分</w:t>
      </w:r>
      <w:proofErr w:type="gramEnd"/>
      <w:r w:rsidRPr="00FA166D">
        <w:rPr>
          <w:rFonts w:asciiTheme="minorEastAsia" w:eastAsiaTheme="minorEastAsia" w:hAnsiTheme="minorEastAsia" w:cs="Times New Roman" w:hint="eastAsia"/>
        </w:rPr>
        <w:t>采用正交实验设计，加</w:t>
      </w:r>
      <w:proofErr w:type="gramStart"/>
      <w:r w:rsidRPr="00FA166D">
        <w:rPr>
          <w:rFonts w:asciiTheme="minorEastAsia" w:eastAsiaTheme="minorEastAsia" w:hAnsiTheme="minorEastAsia" w:cs="Times New Roman" w:hint="eastAsia"/>
        </w:rPr>
        <w:t>香部分</w:t>
      </w:r>
      <w:proofErr w:type="gramEnd"/>
      <w:r w:rsidRPr="00FA166D">
        <w:rPr>
          <w:rFonts w:asciiTheme="minorEastAsia" w:eastAsiaTheme="minorEastAsia" w:hAnsiTheme="minorEastAsia" w:cs="Times New Roman" w:hint="eastAsia"/>
        </w:rPr>
        <w:t>采用全因子实验设计，以御寒颗粒作为苦味载体开展口尝实验筛选最优配方，以银翘散、龙胆泻肝汤、加味乌药汤对配方</w:t>
      </w:r>
      <w:proofErr w:type="gramStart"/>
      <w:r w:rsidRPr="00FA166D">
        <w:rPr>
          <w:rFonts w:asciiTheme="minorEastAsia" w:eastAsiaTheme="minorEastAsia" w:hAnsiTheme="minorEastAsia" w:cs="Times New Roman" w:hint="eastAsia"/>
        </w:rPr>
        <w:t>掩味效果</w:t>
      </w:r>
      <w:proofErr w:type="gramEnd"/>
      <w:r w:rsidRPr="00FA166D">
        <w:rPr>
          <w:rFonts w:asciiTheme="minorEastAsia" w:eastAsiaTheme="minorEastAsia" w:hAnsiTheme="minorEastAsia" w:cs="Times New Roman" w:hint="eastAsia"/>
        </w:rPr>
        <w:t>进行验证。结果：新筛选配方排序和苦度值之和的数值最小，</w:t>
      </w:r>
      <w:proofErr w:type="gramStart"/>
      <w:r w:rsidRPr="00FA166D">
        <w:rPr>
          <w:rFonts w:asciiTheme="minorEastAsia" w:eastAsiaTheme="minorEastAsia" w:hAnsiTheme="minorEastAsia" w:cs="Times New Roman" w:hint="eastAsia"/>
        </w:rPr>
        <w:t>抑苦效果</w:t>
      </w:r>
      <w:proofErr w:type="gramEnd"/>
      <w:r w:rsidRPr="00FA166D">
        <w:rPr>
          <w:rFonts w:asciiTheme="minorEastAsia" w:eastAsiaTheme="minorEastAsia" w:hAnsiTheme="minorEastAsia" w:cs="Times New Roman" w:hint="eastAsia"/>
        </w:rPr>
        <w:t>最佳，将上述配方加入银翘散、龙胆泻肝汤、加味乌药汤中，三种汤剂加入后与原汤剂对比苦度值降低，均有显著性差异（p&lt;0.01）。结论：本次筛选配方对御寒颗粒、银翘散等苦味汤剂均有较好</w:t>
      </w:r>
      <w:proofErr w:type="gramStart"/>
      <w:r w:rsidRPr="00FA166D">
        <w:rPr>
          <w:rFonts w:asciiTheme="minorEastAsia" w:eastAsiaTheme="minorEastAsia" w:hAnsiTheme="minorEastAsia" w:cs="Times New Roman" w:hint="eastAsia"/>
        </w:rPr>
        <w:t>的抑苦效果</w:t>
      </w:r>
      <w:proofErr w:type="gramEnd"/>
      <w:r w:rsidRPr="00FA166D">
        <w:rPr>
          <w:rFonts w:asciiTheme="minorEastAsia" w:eastAsiaTheme="minorEastAsia" w:hAnsiTheme="minorEastAsia" w:cs="Times New Roman" w:hint="eastAsia"/>
        </w:rPr>
        <w:t>，口感评价较好，具有进一步研究价值。</w:t>
      </w:r>
    </w:p>
    <w:p w:rsidR="00FA166D" w:rsidRPr="00FA166D" w:rsidRDefault="00FA166D" w:rsidP="00FA166D">
      <w:pPr>
        <w:spacing w:line="360" w:lineRule="auto"/>
        <w:rPr>
          <w:rFonts w:asciiTheme="minorEastAsia" w:eastAsiaTheme="minorEastAsia" w:hAnsiTheme="minorEastAsia" w:cs="Times New Roman"/>
        </w:rPr>
      </w:pPr>
      <w:r w:rsidRPr="00FA166D">
        <w:rPr>
          <w:rFonts w:asciiTheme="minorEastAsia" w:eastAsiaTheme="minorEastAsia" w:hAnsiTheme="minorEastAsia" w:hint="eastAsia"/>
          <w:b/>
        </w:rPr>
        <w:t>关键词：</w:t>
      </w:r>
      <w:r w:rsidRPr="00FA166D">
        <w:rPr>
          <w:rFonts w:asciiTheme="minorEastAsia" w:eastAsiaTheme="minorEastAsia" w:hAnsiTheme="minorEastAsia" w:cs="Times New Roman" w:hint="eastAsia"/>
        </w:rPr>
        <w:t>掩味；中药伴侣；苦度评价；正交试验；口尝法</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孔子家语·六本》中亦写到:“良药苦于口而利于病，忠言逆于耳而利于行。”自古以来良药苦口的概念深入人心。然而随着社会的发展，人们对健康服务提出更高的要求。中药不良口感严重抑制了其应用和发展，中医治病的固有优势逐渐被淡化或弱化</w:t>
      </w:r>
      <w:r>
        <w:rPr>
          <w:rFonts w:asciiTheme="minorEastAsia" w:eastAsiaTheme="minorEastAsia" w:hAnsiTheme="minorEastAsia" w:cs="Times New Roman" w:hint="eastAsia"/>
          <w:sz w:val="24"/>
          <w:szCs w:val="24"/>
          <w:vertAlign w:val="superscript"/>
        </w:rPr>
        <w:t>【1】</w:t>
      </w:r>
      <w:r>
        <w:rPr>
          <w:rFonts w:asciiTheme="minorEastAsia" w:eastAsiaTheme="minorEastAsia" w:hAnsiTheme="minorEastAsia" w:cs="Times New Roman" w:hint="eastAsia"/>
          <w:sz w:val="24"/>
          <w:szCs w:val="24"/>
        </w:rPr>
        <w:t>。</w:t>
      </w:r>
      <w:r>
        <w:rPr>
          <w:rFonts w:asciiTheme="minorEastAsia" w:eastAsiaTheme="minorEastAsia" w:hAnsiTheme="minorEastAsia" w:hint="eastAsia"/>
          <w:sz w:val="24"/>
          <w:szCs w:val="24"/>
        </w:rPr>
        <w:t>因此，开展对中药</w:t>
      </w:r>
      <w:proofErr w:type="gramStart"/>
      <w:r>
        <w:rPr>
          <w:rFonts w:asciiTheme="minorEastAsia" w:eastAsiaTheme="minorEastAsia" w:hAnsiTheme="minorEastAsia" w:hint="eastAsia"/>
          <w:sz w:val="24"/>
          <w:szCs w:val="24"/>
        </w:rPr>
        <w:t>掩味技术</w:t>
      </w:r>
      <w:proofErr w:type="gramEnd"/>
      <w:r>
        <w:rPr>
          <w:rFonts w:asciiTheme="minorEastAsia" w:eastAsiaTheme="minorEastAsia" w:hAnsiTheme="minorEastAsia" w:hint="eastAsia"/>
          <w:sz w:val="24"/>
          <w:szCs w:val="24"/>
        </w:rPr>
        <w:t>的研究是十分迫切和必要的</w:t>
      </w:r>
      <w:r>
        <w:rPr>
          <w:rFonts w:asciiTheme="minorEastAsia" w:eastAsiaTheme="minorEastAsia" w:hAnsiTheme="minorEastAsia" w:cs="Times New Roman" w:hint="eastAsia"/>
          <w:sz w:val="24"/>
          <w:szCs w:val="24"/>
          <w:vertAlign w:val="superscript"/>
        </w:rPr>
        <w:t>【2】</w:t>
      </w:r>
      <w:r>
        <w:rPr>
          <w:rFonts w:asciiTheme="minorEastAsia" w:eastAsiaTheme="minorEastAsia" w:hAnsiTheme="minorEastAsia" w:hint="eastAsia"/>
          <w:sz w:val="24"/>
          <w:szCs w:val="24"/>
        </w:rPr>
        <w:t>，改善中药汤剂口感能够增强患者对中药的接受程度，增强中药的应用范围，从而推动我国传统中药的现代化发展，推动中医药的现代化进程。</w:t>
      </w:r>
    </w:p>
    <w:p w:rsidR="00FA166D" w:rsidRDefault="00FA166D" w:rsidP="00FA166D">
      <w:pPr>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中药</w:t>
      </w:r>
      <w:proofErr w:type="gramStart"/>
      <w:r>
        <w:rPr>
          <w:rFonts w:asciiTheme="minorEastAsia" w:eastAsiaTheme="minorEastAsia" w:hAnsiTheme="minorEastAsia" w:hint="eastAsia"/>
          <w:sz w:val="24"/>
          <w:szCs w:val="24"/>
        </w:rPr>
        <w:t>汤剂掩味最</w:t>
      </w:r>
      <w:proofErr w:type="gramEnd"/>
      <w:r>
        <w:rPr>
          <w:rFonts w:asciiTheme="minorEastAsia" w:eastAsiaTheme="minorEastAsia" w:hAnsiTheme="minorEastAsia" w:hint="eastAsia"/>
          <w:sz w:val="24"/>
          <w:szCs w:val="24"/>
        </w:rPr>
        <w:t>简便有效的方法即加入</w:t>
      </w:r>
      <w:proofErr w:type="gramStart"/>
      <w:r>
        <w:rPr>
          <w:rFonts w:asciiTheme="minorEastAsia" w:eastAsiaTheme="minorEastAsia" w:hAnsiTheme="minorEastAsia" w:hint="eastAsia"/>
          <w:sz w:val="24"/>
          <w:szCs w:val="24"/>
        </w:rPr>
        <w:t>掩味剂</w:t>
      </w:r>
      <w:proofErr w:type="gramEnd"/>
      <w:r>
        <w:rPr>
          <w:rFonts w:asciiTheme="minorEastAsia" w:eastAsiaTheme="minorEastAsia" w:hAnsiTheme="minorEastAsia" w:hint="eastAsia"/>
          <w:sz w:val="24"/>
          <w:szCs w:val="24"/>
        </w:rPr>
        <w:t>，然而仅添加单一的</w:t>
      </w:r>
      <w:proofErr w:type="gramStart"/>
      <w:r>
        <w:rPr>
          <w:rFonts w:asciiTheme="minorEastAsia" w:eastAsiaTheme="minorEastAsia" w:hAnsiTheme="minorEastAsia" w:hint="eastAsia"/>
          <w:sz w:val="24"/>
          <w:szCs w:val="24"/>
        </w:rPr>
        <w:t>掩味剂</w:t>
      </w:r>
      <w:proofErr w:type="gramEnd"/>
      <w:r>
        <w:rPr>
          <w:rFonts w:asciiTheme="minorEastAsia" w:eastAsiaTheme="minorEastAsia" w:hAnsiTheme="minorEastAsia" w:hint="eastAsia"/>
          <w:sz w:val="24"/>
          <w:szCs w:val="24"/>
        </w:rPr>
        <w:t>对苦度值很高及有其他异味的中药汤剂往往不能达到</w:t>
      </w:r>
      <w:proofErr w:type="gramStart"/>
      <w:r>
        <w:rPr>
          <w:rFonts w:asciiTheme="minorEastAsia" w:eastAsiaTheme="minorEastAsia" w:hAnsiTheme="minorEastAsia" w:hint="eastAsia"/>
          <w:sz w:val="24"/>
          <w:szCs w:val="24"/>
        </w:rPr>
        <w:t>理想掩味效果</w:t>
      </w:r>
      <w:proofErr w:type="gramEnd"/>
      <w:r>
        <w:rPr>
          <w:rFonts w:asciiTheme="minorEastAsia" w:eastAsiaTheme="minorEastAsia" w:hAnsiTheme="minorEastAsia" w:hint="eastAsia"/>
          <w:sz w:val="24"/>
          <w:szCs w:val="24"/>
        </w:rPr>
        <w:t>，必须多种</w:t>
      </w:r>
      <w:proofErr w:type="gramStart"/>
      <w:r>
        <w:rPr>
          <w:rFonts w:asciiTheme="minorEastAsia" w:eastAsiaTheme="minorEastAsia" w:hAnsiTheme="minorEastAsia" w:hint="eastAsia"/>
          <w:sz w:val="24"/>
          <w:szCs w:val="24"/>
        </w:rPr>
        <w:t>掩味剂联</w:t>
      </w:r>
      <w:proofErr w:type="gramEnd"/>
      <w:r>
        <w:rPr>
          <w:rFonts w:asciiTheme="minorEastAsia" w:eastAsiaTheme="minorEastAsia" w:hAnsiTheme="minorEastAsia" w:hint="eastAsia"/>
          <w:sz w:val="24"/>
          <w:szCs w:val="24"/>
        </w:rPr>
        <w:t>用以更好地改善口感</w:t>
      </w:r>
      <w:r>
        <w:rPr>
          <w:rFonts w:asciiTheme="minorEastAsia" w:eastAsiaTheme="minorEastAsia" w:hAnsiTheme="minorEastAsia" w:cs="Times New Roman" w:hint="eastAsia"/>
          <w:sz w:val="24"/>
          <w:szCs w:val="24"/>
          <w:vertAlign w:val="superscript"/>
        </w:rPr>
        <w:t>【3-4】</w:t>
      </w:r>
      <w:r>
        <w:rPr>
          <w:rFonts w:asciiTheme="minorEastAsia" w:eastAsiaTheme="minorEastAsia" w:hAnsiTheme="minorEastAsia" w:hint="eastAsia"/>
          <w:sz w:val="24"/>
          <w:szCs w:val="24"/>
        </w:rPr>
        <w:t>。本实验</w:t>
      </w:r>
      <w:proofErr w:type="gramStart"/>
      <w:r>
        <w:rPr>
          <w:rFonts w:asciiTheme="minorEastAsia" w:eastAsiaTheme="minorEastAsia" w:hAnsiTheme="minorEastAsia" w:hint="eastAsia"/>
          <w:sz w:val="24"/>
          <w:szCs w:val="24"/>
        </w:rPr>
        <w:t>从抑苦</w:t>
      </w:r>
      <w:proofErr w:type="gramEnd"/>
      <w:r>
        <w:rPr>
          <w:rFonts w:asciiTheme="minorEastAsia" w:eastAsiaTheme="minorEastAsia" w:hAnsiTheme="minorEastAsia" w:hint="eastAsia"/>
          <w:sz w:val="24"/>
          <w:szCs w:val="24"/>
        </w:rPr>
        <w:t>增甜加香调味多层次设计，通过正交及全因子设计优选确定牛奶味中药伴侣的配方组成。</w:t>
      </w:r>
    </w:p>
    <w:p w:rsidR="00FA166D" w:rsidRDefault="00FA166D" w:rsidP="00FA166D">
      <w:pPr>
        <w:pStyle w:val="3"/>
        <w:ind w:firstLineChars="94" w:firstLine="198"/>
      </w:pPr>
      <w:r>
        <w:rPr>
          <w:rFonts w:hint="eastAsia"/>
        </w:rPr>
        <w:t>1.</w:t>
      </w:r>
      <w:r>
        <w:rPr>
          <w:rFonts w:hint="eastAsia"/>
        </w:rPr>
        <w:t>材料</w:t>
      </w:r>
    </w:p>
    <w:p w:rsidR="00FA166D" w:rsidRDefault="00FA166D" w:rsidP="00FA16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药品：盐酸小</w:t>
      </w:r>
      <w:proofErr w:type="gramStart"/>
      <w:r>
        <w:rPr>
          <w:rFonts w:asciiTheme="minorEastAsia" w:eastAsiaTheme="minorEastAsia" w:hAnsiTheme="minorEastAsia" w:hint="eastAsia"/>
          <w:sz w:val="24"/>
          <w:szCs w:val="24"/>
        </w:rPr>
        <w:t>檗</w:t>
      </w:r>
      <w:proofErr w:type="gramEnd"/>
      <w:r>
        <w:rPr>
          <w:rFonts w:asciiTheme="minorEastAsia" w:eastAsiaTheme="minorEastAsia" w:hAnsiTheme="minorEastAsia" w:hint="eastAsia"/>
          <w:sz w:val="24"/>
          <w:szCs w:val="24"/>
        </w:rPr>
        <w:t>碱（上海源叶生物科技有限公司，批号B21449），β-环糊精（</w:t>
      </w:r>
      <w:proofErr w:type="gramStart"/>
      <w:r>
        <w:rPr>
          <w:rFonts w:asciiTheme="minorEastAsia" w:eastAsiaTheme="minorEastAsia" w:hAnsiTheme="minorEastAsia" w:hint="eastAsia"/>
          <w:sz w:val="24"/>
          <w:szCs w:val="24"/>
        </w:rPr>
        <w:t>曲埠市</w:t>
      </w:r>
      <w:proofErr w:type="gramEnd"/>
      <w:r>
        <w:rPr>
          <w:rFonts w:asciiTheme="minorEastAsia" w:eastAsiaTheme="minorEastAsia" w:hAnsiTheme="minorEastAsia" w:hint="eastAsia"/>
          <w:sz w:val="24"/>
          <w:szCs w:val="24"/>
        </w:rPr>
        <w:t>天利药用辅料有限公司，批号101124），三氯蔗糖（北京庄盟国际生物科</w:t>
      </w:r>
      <w:r>
        <w:rPr>
          <w:rFonts w:asciiTheme="minorEastAsia" w:eastAsiaTheme="minorEastAsia" w:hAnsiTheme="minorEastAsia" w:hint="eastAsia"/>
          <w:sz w:val="24"/>
          <w:szCs w:val="24"/>
        </w:rPr>
        <w:lastRenderedPageBreak/>
        <w:t>技有限公司，批号20170128），阿斯巴甜（北京维多化工有限公司，批号20160424），植脂末（东莞雀巢有限公司2016108103），蔗糖（天津市津南区宏元食品有限公司 20170517E03），牛奶香精（徐州江大生物科技有限公司，20170228）。</w:t>
      </w:r>
    </w:p>
    <w:p w:rsidR="00FA166D" w:rsidRDefault="00FA166D" w:rsidP="00FA16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仪器：BSA224S-CW电子天平（Sartorius），HK250</w:t>
      </w:r>
      <w:proofErr w:type="gramStart"/>
      <w:r>
        <w:rPr>
          <w:rFonts w:asciiTheme="minorEastAsia" w:eastAsiaTheme="minorEastAsia" w:hAnsiTheme="minorEastAsia" w:hint="eastAsia"/>
          <w:sz w:val="24"/>
          <w:szCs w:val="24"/>
        </w:rPr>
        <w:t>型科导</w:t>
      </w:r>
      <w:proofErr w:type="gramEnd"/>
      <w:r>
        <w:rPr>
          <w:rFonts w:asciiTheme="minorEastAsia" w:eastAsiaTheme="minorEastAsia" w:hAnsiTheme="minorEastAsia" w:hint="eastAsia"/>
          <w:sz w:val="24"/>
          <w:szCs w:val="24"/>
        </w:rPr>
        <w:t>台式超声波清洗器（上海汉克科学仪器有限公司），GZX-9146MBE电热鼓风干燥箱（上海博讯实业有限公司医疗设备厂），LXJ-ⅡB低速大容量多管离心机（上海安亭科学仪器厂），磁力搅拌器（AM-5250B），HHS电热恒温水浴锅，电磁炉。</w:t>
      </w:r>
    </w:p>
    <w:p w:rsidR="00FA166D" w:rsidRDefault="00FA166D" w:rsidP="00FA166D">
      <w:pPr>
        <w:pStyle w:val="3"/>
        <w:ind w:firstLine="422"/>
      </w:pPr>
      <w:r>
        <w:rPr>
          <w:rFonts w:hint="eastAsia"/>
        </w:rPr>
        <w:t>2</w:t>
      </w:r>
      <w:r>
        <w:t xml:space="preserve"> </w:t>
      </w:r>
      <w:r>
        <w:rPr>
          <w:rFonts w:hint="eastAsia"/>
        </w:rPr>
        <w:t>方法与结果</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2.1实验设计方法</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2.1.1</w:t>
      </w:r>
      <w:proofErr w:type="gramStart"/>
      <w:r>
        <w:rPr>
          <w:rFonts w:asciiTheme="minorEastAsia" w:eastAsiaTheme="minorEastAsia" w:hAnsiTheme="minorEastAsia" w:hint="eastAsia"/>
          <w:sz w:val="24"/>
          <w:szCs w:val="24"/>
        </w:rPr>
        <w:t>抑苦增甜</w:t>
      </w:r>
      <w:proofErr w:type="gramEnd"/>
      <w:r>
        <w:rPr>
          <w:rFonts w:asciiTheme="minorEastAsia" w:eastAsiaTheme="minorEastAsia" w:hAnsiTheme="minorEastAsia" w:hint="eastAsia"/>
          <w:sz w:val="24"/>
          <w:szCs w:val="24"/>
        </w:rPr>
        <w:t>部分试验设计</w:t>
      </w:r>
    </w:p>
    <w:p w:rsidR="00FA166D" w:rsidRDefault="00FA166D" w:rsidP="00FA166D">
      <w:pPr>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正交试验设计是研究多因素、多层次的一种设计方法</w:t>
      </w:r>
      <w:r>
        <w:rPr>
          <w:rFonts w:asciiTheme="minorEastAsia" w:eastAsiaTheme="minorEastAsia" w:hAnsiTheme="minorEastAsia" w:cs="Times New Roman" w:hint="eastAsia"/>
          <w:sz w:val="24"/>
          <w:szCs w:val="24"/>
          <w:vertAlign w:val="superscript"/>
        </w:rPr>
        <w:t>【5】</w:t>
      </w:r>
      <w:r>
        <w:rPr>
          <w:rFonts w:asciiTheme="minorEastAsia" w:eastAsiaTheme="minorEastAsia" w:hAnsiTheme="minorEastAsia" w:hint="eastAsia"/>
          <w:sz w:val="24"/>
          <w:szCs w:val="24"/>
        </w:rPr>
        <w:t>，利用正交试验设计可以有效地减少实验次数。经过预实验各个浓度梯度的搭配效果，最终确定四个因素三个水平如表1所示。</w:t>
      </w:r>
    </w:p>
    <w:p w:rsidR="00FA166D" w:rsidRDefault="00FA166D" w:rsidP="00FA166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表1 实验因素水平表</w:t>
      </w:r>
    </w:p>
    <w:tbl>
      <w:tblPr>
        <w:tblW w:w="0" w:type="auto"/>
        <w:tblLook w:val="04A0" w:firstRow="1" w:lastRow="0" w:firstColumn="1" w:lastColumn="0" w:noHBand="0" w:noVBand="1"/>
      </w:tblPr>
      <w:tblGrid>
        <w:gridCol w:w="1242"/>
        <w:gridCol w:w="1701"/>
        <w:gridCol w:w="1843"/>
        <w:gridCol w:w="1843"/>
        <w:gridCol w:w="1701"/>
      </w:tblGrid>
      <w:tr w:rsidR="00FA166D" w:rsidTr="00FA166D">
        <w:tc>
          <w:tcPr>
            <w:tcW w:w="1242" w:type="dxa"/>
            <w:vMerge w:val="restart"/>
            <w:tcBorders>
              <w:top w:val="single" w:sz="12"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r>
              <w:rPr>
                <w:rFonts w:asciiTheme="minorEastAsia" w:eastAsiaTheme="minorEastAsia" w:hAnsiTheme="minorEastAsia" w:hint="eastAsia"/>
                <w:sz w:val="24"/>
                <w:szCs w:val="24"/>
              </w:rPr>
              <w:t>水平</w:t>
            </w:r>
          </w:p>
        </w:tc>
        <w:tc>
          <w:tcPr>
            <w:tcW w:w="7088" w:type="dxa"/>
            <w:gridSpan w:val="4"/>
            <w:tcBorders>
              <w:top w:val="single" w:sz="12" w:space="0" w:color="auto"/>
              <w:left w:val="nil"/>
              <w:bottom w:val="single" w:sz="4"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因素</w:t>
            </w:r>
          </w:p>
        </w:tc>
      </w:tr>
      <w:tr w:rsidR="00FA166D" w:rsidTr="00FA166D">
        <w:tc>
          <w:tcPr>
            <w:tcW w:w="0" w:type="auto"/>
            <w:vMerge/>
            <w:tcBorders>
              <w:top w:val="single" w:sz="12"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p>
        </w:tc>
        <w:tc>
          <w:tcPr>
            <w:tcW w:w="1701" w:type="dxa"/>
            <w:tcBorders>
              <w:top w:val="single" w:sz="4"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r>
              <w:rPr>
                <w:rFonts w:asciiTheme="minorEastAsia" w:eastAsiaTheme="minorEastAsia" w:hAnsiTheme="minorEastAsia" w:hint="eastAsia"/>
                <w:sz w:val="24"/>
                <w:szCs w:val="24"/>
              </w:rPr>
              <w:t>β－CD（g）</w:t>
            </w:r>
          </w:p>
        </w:tc>
        <w:tc>
          <w:tcPr>
            <w:tcW w:w="1843" w:type="dxa"/>
            <w:tcBorders>
              <w:top w:val="single" w:sz="4"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r>
              <w:rPr>
                <w:rFonts w:asciiTheme="minorEastAsia" w:eastAsiaTheme="minorEastAsia" w:hAnsiTheme="minorEastAsia" w:hint="eastAsia"/>
                <w:sz w:val="24"/>
                <w:szCs w:val="24"/>
              </w:rPr>
              <w:t>阿斯巴甜（g）</w:t>
            </w:r>
          </w:p>
        </w:tc>
        <w:tc>
          <w:tcPr>
            <w:tcW w:w="1843" w:type="dxa"/>
            <w:tcBorders>
              <w:top w:val="single" w:sz="4"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r>
              <w:rPr>
                <w:rFonts w:asciiTheme="minorEastAsia" w:eastAsiaTheme="minorEastAsia" w:hAnsiTheme="minorEastAsia" w:hint="eastAsia"/>
                <w:sz w:val="24"/>
                <w:szCs w:val="24"/>
              </w:rPr>
              <w:t>三氯蔗糖（g）</w:t>
            </w:r>
          </w:p>
        </w:tc>
        <w:tc>
          <w:tcPr>
            <w:tcW w:w="1701" w:type="dxa"/>
            <w:tcBorders>
              <w:top w:val="single" w:sz="4"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r>
              <w:rPr>
                <w:rFonts w:asciiTheme="minorEastAsia" w:eastAsiaTheme="minorEastAsia" w:hAnsiTheme="minorEastAsia" w:hint="eastAsia"/>
                <w:sz w:val="24"/>
                <w:szCs w:val="24"/>
              </w:rPr>
              <w:t>蔗糖(g)</w:t>
            </w:r>
          </w:p>
        </w:tc>
      </w:tr>
      <w:tr w:rsidR="00FA166D" w:rsidTr="00FA166D">
        <w:tc>
          <w:tcPr>
            <w:tcW w:w="1242" w:type="dxa"/>
            <w:tcBorders>
              <w:top w:val="single" w:sz="12" w:space="0" w:color="auto"/>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701" w:type="dxa"/>
            <w:tcBorders>
              <w:top w:val="single" w:sz="12" w:space="0" w:color="auto"/>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843" w:type="dxa"/>
            <w:tcBorders>
              <w:top w:val="single" w:sz="12" w:space="0" w:color="auto"/>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0.01</w:t>
            </w:r>
          </w:p>
        </w:tc>
        <w:tc>
          <w:tcPr>
            <w:tcW w:w="1843" w:type="dxa"/>
            <w:tcBorders>
              <w:top w:val="single" w:sz="12" w:space="0" w:color="auto"/>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0.04</w:t>
            </w:r>
          </w:p>
        </w:tc>
        <w:tc>
          <w:tcPr>
            <w:tcW w:w="1701" w:type="dxa"/>
            <w:tcBorders>
              <w:top w:val="single" w:sz="12" w:space="0" w:color="auto"/>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r>
      <w:tr w:rsidR="00FA166D" w:rsidTr="00FA166D">
        <w:tc>
          <w:tcPr>
            <w:tcW w:w="1242" w:type="dxa"/>
            <w:tcBorders>
              <w:top w:val="nil"/>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1701" w:type="dxa"/>
            <w:tcBorders>
              <w:top w:val="nil"/>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1843" w:type="dxa"/>
            <w:tcBorders>
              <w:top w:val="nil"/>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0.02</w:t>
            </w:r>
          </w:p>
        </w:tc>
        <w:tc>
          <w:tcPr>
            <w:tcW w:w="1843" w:type="dxa"/>
            <w:tcBorders>
              <w:top w:val="nil"/>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0.06</w:t>
            </w:r>
          </w:p>
        </w:tc>
        <w:tc>
          <w:tcPr>
            <w:tcW w:w="1701" w:type="dxa"/>
            <w:tcBorders>
              <w:top w:val="nil"/>
              <w:left w:val="nil"/>
              <w:bottom w:val="nil"/>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r>
      <w:tr w:rsidR="00FA166D" w:rsidTr="00FA166D">
        <w:tc>
          <w:tcPr>
            <w:tcW w:w="1242" w:type="dxa"/>
            <w:tcBorders>
              <w:top w:val="nil"/>
              <w:left w:val="nil"/>
              <w:bottom w:val="single" w:sz="12"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1701" w:type="dxa"/>
            <w:tcBorders>
              <w:top w:val="nil"/>
              <w:left w:val="nil"/>
              <w:bottom w:val="single" w:sz="12"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1843" w:type="dxa"/>
            <w:tcBorders>
              <w:top w:val="nil"/>
              <w:left w:val="nil"/>
              <w:bottom w:val="single" w:sz="12"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0.03</w:t>
            </w:r>
          </w:p>
        </w:tc>
        <w:tc>
          <w:tcPr>
            <w:tcW w:w="1843" w:type="dxa"/>
            <w:tcBorders>
              <w:top w:val="nil"/>
              <w:left w:val="nil"/>
              <w:bottom w:val="single" w:sz="12"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0.08</w:t>
            </w:r>
          </w:p>
        </w:tc>
        <w:tc>
          <w:tcPr>
            <w:tcW w:w="1701" w:type="dxa"/>
            <w:tcBorders>
              <w:top w:val="nil"/>
              <w:left w:val="nil"/>
              <w:bottom w:val="single" w:sz="12"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20</w:t>
            </w:r>
          </w:p>
        </w:tc>
      </w:tr>
    </w:tbl>
    <w:p w:rsidR="00FA166D" w:rsidRDefault="00FA166D" w:rsidP="00FA16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蔗糖作为低倍甜味剂，对试验结果的影响相对于其他因素较小，因此首先将蔗糖这个因素留作空白，通过查询</w:t>
      </w:r>
      <w:proofErr w:type="gramStart"/>
      <w:r>
        <w:rPr>
          <w:rFonts w:asciiTheme="minorEastAsia" w:eastAsiaTheme="minorEastAsia" w:hAnsiTheme="minorEastAsia" w:hint="eastAsia"/>
          <w:sz w:val="24"/>
          <w:szCs w:val="24"/>
        </w:rPr>
        <w:t>四因素三</w:t>
      </w:r>
      <w:proofErr w:type="gramEnd"/>
      <w:r>
        <w:rPr>
          <w:rFonts w:asciiTheme="minorEastAsia" w:eastAsiaTheme="minorEastAsia" w:hAnsiTheme="minorEastAsia" w:hint="eastAsia"/>
          <w:sz w:val="24"/>
          <w:szCs w:val="24"/>
        </w:rPr>
        <w:t>水平正交试验的使用表L9（3</w:t>
      </w:r>
      <w:r>
        <w:rPr>
          <w:rFonts w:asciiTheme="minorEastAsia" w:eastAsiaTheme="minorEastAsia" w:hAnsiTheme="minorEastAsia" w:hint="eastAsia"/>
          <w:sz w:val="24"/>
          <w:szCs w:val="24"/>
          <w:vertAlign w:val="superscript"/>
        </w:rPr>
        <w:t>4</w:t>
      </w:r>
      <w:r>
        <w:rPr>
          <w:rFonts w:asciiTheme="minorEastAsia" w:eastAsiaTheme="minorEastAsia" w:hAnsiTheme="minorEastAsia" w:hint="eastAsia"/>
          <w:sz w:val="24"/>
          <w:szCs w:val="24"/>
        </w:rPr>
        <w:t>）</w:t>
      </w:r>
      <w:r>
        <w:rPr>
          <w:rFonts w:asciiTheme="minorEastAsia" w:eastAsiaTheme="minorEastAsia" w:hAnsiTheme="minorEastAsia" w:cs="Times New Roman" w:hint="eastAsia"/>
          <w:sz w:val="24"/>
          <w:szCs w:val="24"/>
          <w:vertAlign w:val="superscript"/>
        </w:rPr>
        <w:t>【15】</w:t>
      </w:r>
      <w:r>
        <w:rPr>
          <w:rFonts w:asciiTheme="minorEastAsia" w:eastAsiaTheme="minorEastAsia" w:hAnsiTheme="minorEastAsia" w:hint="eastAsia"/>
          <w:sz w:val="24"/>
          <w:szCs w:val="24"/>
        </w:rPr>
        <w:t>，确定共需做9次试验，具体实验使用表略。</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2.1.2加香调味部分实验设计</w:t>
      </w:r>
    </w:p>
    <w:p w:rsidR="00FA166D" w:rsidRDefault="00FA166D" w:rsidP="00FA166D">
      <w:pPr>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加香调味部分一共有两个因素，每个因素有三个水平，做完全实验一共需要3</w:t>
      </w:r>
      <w:r>
        <w:rPr>
          <w:rFonts w:asciiTheme="minorEastAsia" w:eastAsiaTheme="minorEastAsia" w:hAnsiTheme="minorEastAsia" w:hint="eastAsia"/>
          <w:sz w:val="24"/>
          <w:szCs w:val="24"/>
          <w:vertAlign w:val="superscript"/>
        </w:rPr>
        <w:t>2</w:t>
      </w:r>
      <w:r>
        <w:rPr>
          <w:rFonts w:asciiTheme="minorEastAsia" w:eastAsiaTheme="minorEastAsia" w:hAnsiTheme="minorEastAsia" w:hint="eastAsia"/>
          <w:sz w:val="24"/>
          <w:szCs w:val="24"/>
        </w:rPr>
        <w:t>=9次，因素水平表见下表，具体实验使用表略。</w:t>
      </w:r>
    </w:p>
    <w:p w:rsidR="00FA166D" w:rsidRDefault="00FA166D" w:rsidP="00FA166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表2  全因子实验因素水平表</w:t>
      </w:r>
    </w:p>
    <w:tbl>
      <w:tblPr>
        <w:tblW w:w="0" w:type="auto"/>
        <w:jc w:val="center"/>
        <w:tblBorders>
          <w:top w:val="single" w:sz="12" w:space="0" w:color="auto"/>
          <w:bottom w:val="single" w:sz="12" w:space="0" w:color="auto"/>
        </w:tblBorders>
        <w:tblLook w:val="04A0" w:firstRow="1" w:lastRow="0" w:firstColumn="1" w:lastColumn="0" w:noHBand="0" w:noVBand="1"/>
      </w:tblPr>
      <w:tblGrid>
        <w:gridCol w:w="1242"/>
        <w:gridCol w:w="1843"/>
        <w:gridCol w:w="1559"/>
      </w:tblGrid>
      <w:tr w:rsidR="00FA166D" w:rsidTr="00FA166D">
        <w:trPr>
          <w:jc w:val="center"/>
        </w:trPr>
        <w:tc>
          <w:tcPr>
            <w:tcW w:w="1242" w:type="dxa"/>
            <w:vMerge w:val="restart"/>
            <w:tcBorders>
              <w:top w:val="single" w:sz="12" w:space="0" w:color="auto"/>
              <w:left w:val="nil"/>
              <w:bottom w:val="single" w:sz="12" w:space="0" w:color="auto"/>
              <w:right w:val="nil"/>
            </w:tcBorders>
            <w:vAlign w:val="center"/>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水平</w:t>
            </w:r>
          </w:p>
        </w:tc>
        <w:tc>
          <w:tcPr>
            <w:tcW w:w="3402" w:type="dxa"/>
            <w:gridSpan w:val="2"/>
            <w:tcBorders>
              <w:top w:val="single" w:sz="12" w:space="0" w:color="auto"/>
              <w:left w:val="nil"/>
              <w:bottom w:val="single" w:sz="4" w:space="0" w:color="auto"/>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因素</w:t>
            </w:r>
          </w:p>
        </w:tc>
      </w:tr>
      <w:tr w:rsidR="00FA166D" w:rsidTr="00FA166D">
        <w:trPr>
          <w:jc w:val="center"/>
        </w:trPr>
        <w:tc>
          <w:tcPr>
            <w:tcW w:w="0" w:type="auto"/>
            <w:vMerge/>
            <w:tcBorders>
              <w:top w:val="single" w:sz="12" w:space="0" w:color="auto"/>
              <w:left w:val="nil"/>
              <w:bottom w:val="single" w:sz="12" w:space="0" w:color="auto"/>
              <w:right w:val="nil"/>
            </w:tcBorders>
            <w:vAlign w:val="center"/>
            <w:hideMark/>
          </w:tcPr>
          <w:p w:rsidR="00FA166D" w:rsidRDefault="00FA166D">
            <w:pPr>
              <w:rPr>
                <w:rFonts w:asciiTheme="minorEastAsia" w:eastAsiaTheme="minorEastAsia" w:hAnsiTheme="minorEastAsia"/>
                <w:sz w:val="24"/>
                <w:szCs w:val="24"/>
              </w:rPr>
            </w:pPr>
          </w:p>
        </w:tc>
        <w:tc>
          <w:tcPr>
            <w:tcW w:w="1843" w:type="dxa"/>
            <w:tcBorders>
              <w:top w:val="single" w:sz="4" w:space="0" w:color="auto"/>
              <w:left w:val="nil"/>
              <w:bottom w:val="single" w:sz="12" w:space="0" w:color="auto"/>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牛奶香精（g）</w:t>
            </w:r>
          </w:p>
        </w:tc>
        <w:tc>
          <w:tcPr>
            <w:tcW w:w="1559" w:type="dxa"/>
            <w:tcBorders>
              <w:top w:val="single" w:sz="4" w:space="0" w:color="auto"/>
              <w:left w:val="nil"/>
              <w:bottom w:val="single" w:sz="12" w:space="0" w:color="auto"/>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植脂末（g）</w:t>
            </w:r>
          </w:p>
        </w:tc>
      </w:tr>
      <w:tr w:rsidR="00FA166D" w:rsidTr="00FA166D">
        <w:trPr>
          <w:jc w:val="center"/>
        </w:trPr>
        <w:tc>
          <w:tcPr>
            <w:tcW w:w="1242" w:type="dxa"/>
            <w:tcBorders>
              <w:top w:val="single" w:sz="12" w:space="0" w:color="auto"/>
              <w:left w:val="nil"/>
              <w:bottom w:val="nil"/>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843" w:type="dxa"/>
            <w:tcBorders>
              <w:top w:val="single" w:sz="12" w:space="0" w:color="auto"/>
              <w:left w:val="nil"/>
              <w:bottom w:val="nil"/>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0.5</w:t>
            </w:r>
          </w:p>
        </w:tc>
        <w:tc>
          <w:tcPr>
            <w:tcW w:w="1559" w:type="dxa"/>
            <w:tcBorders>
              <w:top w:val="single" w:sz="12" w:space="0" w:color="auto"/>
              <w:left w:val="nil"/>
              <w:bottom w:val="nil"/>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FA166D" w:rsidTr="00FA166D">
        <w:trPr>
          <w:jc w:val="center"/>
        </w:trPr>
        <w:tc>
          <w:tcPr>
            <w:tcW w:w="1242" w:type="dxa"/>
            <w:tcBorders>
              <w:top w:val="nil"/>
              <w:left w:val="nil"/>
              <w:bottom w:val="nil"/>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1843" w:type="dxa"/>
            <w:tcBorders>
              <w:top w:val="nil"/>
              <w:left w:val="nil"/>
              <w:bottom w:val="nil"/>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1559" w:type="dxa"/>
            <w:tcBorders>
              <w:top w:val="nil"/>
              <w:left w:val="nil"/>
              <w:bottom w:val="nil"/>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r>
      <w:tr w:rsidR="00FA166D" w:rsidTr="00FA166D">
        <w:trPr>
          <w:jc w:val="center"/>
        </w:trPr>
        <w:tc>
          <w:tcPr>
            <w:tcW w:w="1242" w:type="dxa"/>
            <w:tcBorders>
              <w:top w:val="nil"/>
              <w:left w:val="nil"/>
              <w:bottom w:val="single" w:sz="12" w:space="0" w:color="auto"/>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1843" w:type="dxa"/>
            <w:tcBorders>
              <w:top w:val="nil"/>
              <w:left w:val="nil"/>
              <w:bottom w:val="single" w:sz="12" w:space="0" w:color="auto"/>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2.5</w:t>
            </w:r>
          </w:p>
        </w:tc>
        <w:tc>
          <w:tcPr>
            <w:tcW w:w="1559" w:type="dxa"/>
            <w:tcBorders>
              <w:top w:val="nil"/>
              <w:left w:val="nil"/>
              <w:bottom w:val="single" w:sz="12" w:space="0" w:color="auto"/>
              <w:right w:val="nil"/>
            </w:tcBorders>
            <w:hideMark/>
          </w:tcPr>
          <w:p w:rsidR="00FA166D" w:rsidRDefault="00FA166D">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r>
    </w:tbl>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2.2经典人群口尝评价</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2.2.1</w:t>
      </w:r>
      <w:proofErr w:type="gramStart"/>
      <w:r>
        <w:rPr>
          <w:rFonts w:asciiTheme="minorEastAsia" w:eastAsiaTheme="minorEastAsia" w:hAnsiTheme="minorEastAsia" w:hint="eastAsia"/>
          <w:sz w:val="24"/>
          <w:szCs w:val="24"/>
        </w:rPr>
        <w:t>评价员</w:t>
      </w:r>
      <w:proofErr w:type="gramEnd"/>
      <w:r>
        <w:rPr>
          <w:rFonts w:asciiTheme="minorEastAsia" w:eastAsiaTheme="minorEastAsia" w:hAnsiTheme="minorEastAsia" w:hint="eastAsia"/>
          <w:sz w:val="24"/>
          <w:szCs w:val="24"/>
        </w:rPr>
        <w:t>筛选</w:t>
      </w:r>
      <w:r>
        <w:rPr>
          <w:rFonts w:asciiTheme="minorEastAsia" w:eastAsiaTheme="minorEastAsia" w:hAnsiTheme="minorEastAsia" w:cs="Times New Roman" w:hint="eastAsia"/>
          <w:sz w:val="24"/>
          <w:szCs w:val="24"/>
          <w:vertAlign w:val="superscript"/>
        </w:rPr>
        <w:t>【6】</w:t>
      </w:r>
    </w:p>
    <w:p w:rsidR="00FA166D" w:rsidRDefault="00FA166D" w:rsidP="00FA166D">
      <w:pPr>
        <w:spacing w:line="360" w:lineRule="auto"/>
        <w:ind w:firstLineChars="200"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评价员</w:t>
      </w:r>
      <w:proofErr w:type="gramEnd"/>
      <w:r>
        <w:rPr>
          <w:rFonts w:asciiTheme="minorEastAsia" w:eastAsiaTheme="minorEastAsia" w:hAnsiTheme="minorEastAsia" w:hint="eastAsia"/>
          <w:sz w:val="24"/>
          <w:szCs w:val="24"/>
        </w:rPr>
        <w:t>筛选首先需要通过审批，经过河南中医药大学第一附属医院伦理委员会审查批准后，面向社会招募志愿者，对招募的志愿者进行包括苦味敏感度，香味敏感度等在内的筛选，最后选出了20位健康的评价员（年龄18-40岁，无严重过敏史，遗传病史、味觉和嗅觉敏感无障碍、没有不良嗜好、近期未感染疾病，其中男2例、女18例）成为受试者，进行试验之前签订口尝实验知情同意书。</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2.2.2评价方法</w:t>
      </w:r>
    </w:p>
    <w:p w:rsidR="00FA166D" w:rsidRDefault="00FA166D" w:rsidP="00FA16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评价方法选择经典人群口感评价方法（traditional human taste panel method，THTPM），具体方法参照课题组已发表文献</w:t>
      </w:r>
      <w:r>
        <w:rPr>
          <w:rFonts w:asciiTheme="minorEastAsia" w:eastAsiaTheme="minorEastAsia" w:hAnsiTheme="minorEastAsia" w:cs="Times New Roman" w:hint="eastAsia"/>
          <w:sz w:val="24"/>
          <w:szCs w:val="24"/>
          <w:vertAlign w:val="superscript"/>
        </w:rPr>
        <w:t>【7-8】</w:t>
      </w:r>
      <w:r>
        <w:rPr>
          <w:rFonts w:asciiTheme="minorEastAsia" w:eastAsiaTheme="minorEastAsia" w:hAnsiTheme="minorEastAsia" w:hint="eastAsia"/>
          <w:sz w:val="24"/>
          <w:szCs w:val="24"/>
        </w:rPr>
        <w:t>。根据本实验的条件选择“排序+评分法”（ISEM）来进行，样品排序原则上按照浓度由低到高的顺序排列，但是为了减少</w:t>
      </w:r>
      <w:proofErr w:type="gramStart"/>
      <w:r>
        <w:rPr>
          <w:rFonts w:asciiTheme="minorEastAsia" w:eastAsiaTheme="minorEastAsia" w:hAnsiTheme="minorEastAsia" w:hint="eastAsia"/>
          <w:sz w:val="24"/>
          <w:szCs w:val="24"/>
        </w:rPr>
        <w:t>评价员</w:t>
      </w:r>
      <w:proofErr w:type="gramEnd"/>
      <w:r>
        <w:rPr>
          <w:rFonts w:asciiTheme="minorEastAsia" w:eastAsiaTheme="minorEastAsia" w:hAnsiTheme="minorEastAsia" w:hint="eastAsia"/>
          <w:sz w:val="24"/>
          <w:szCs w:val="24"/>
        </w:rPr>
        <w:t>的“意识惯性”，对其中某一个或两个样品稍作调动</w:t>
      </w:r>
      <w:r>
        <w:rPr>
          <w:rFonts w:asciiTheme="minorEastAsia" w:eastAsiaTheme="minorEastAsia" w:hAnsiTheme="minorEastAsia" w:cs="Times New Roman" w:hint="eastAsia"/>
          <w:sz w:val="24"/>
          <w:szCs w:val="24"/>
          <w:vertAlign w:val="superscript"/>
        </w:rPr>
        <w:t>【8】</w:t>
      </w:r>
      <w:r>
        <w:rPr>
          <w:rFonts w:asciiTheme="minorEastAsia" w:eastAsiaTheme="minorEastAsia" w:hAnsiTheme="minorEastAsia" w:hint="eastAsia"/>
          <w:sz w:val="24"/>
          <w:szCs w:val="24"/>
        </w:rPr>
        <w:t>。</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2.2.3异常值的剔除</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采用Grubbs检验法对离群值进行检验和剔除</w:t>
      </w:r>
      <w:r>
        <w:rPr>
          <w:rFonts w:asciiTheme="minorEastAsia" w:eastAsiaTheme="minorEastAsia" w:hAnsiTheme="minorEastAsia" w:cs="Times New Roman" w:hint="eastAsia"/>
          <w:sz w:val="24"/>
          <w:szCs w:val="24"/>
          <w:vertAlign w:val="superscript"/>
        </w:rPr>
        <w:t>【9-10】</w:t>
      </w:r>
      <w:r>
        <w:rPr>
          <w:rFonts w:asciiTheme="minorEastAsia" w:eastAsiaTheme="minorEastAsia" w:hAnsiTheme="minorEastAsia" w:hint="eastAsia"/>
          <w:sz w:val="24"/>
          <w:szCs w:val="24"/>
        </w:rPr>
        <w:t>，采用双侧检验显著水平0.05的方式，每轮每次可剔除多个异常值，剔除后不再进行补充测试和插值。</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2.3样品的配置</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2.3.1配方颗粒的配置</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每个方剂按处方将小包装的配方颗粒置于1000ml的烧杯中，按每副药200ml水的比例加入开水，搅拌均匀至颗粒剂全部融化，若不能完全融化将烧杯置于超声</w:t>
      </w:r>
      <w:r>
        <w:rPr>
          <w:rFonts w:asciiTheme="minorEastAsia" w:eastAsiaTheme="minorEastAsia" w:hAnsiTheme="minorEastAsia" w:hint="eastAsia"/>
          <w:sz w:val="24"/>
          <w:szCs w:val="24"/>
        </w:rPr>
        <w:lastRenderedPageBreak/>
        <w:t>波清洗器中使其震荡融化，冷却至室温，备用。</w:t>
      </w:r>
    </w:p>
    <w:p w:rsidR="00FA166D" w:rsidRDefault="00FA166D" w:rsidP="00FA166D">
      <w:pPr>
        <w:spacing w:line="360" w:lineRule="auto"/>
        <w:rPr>
          <w:rFonts w:asciiTheme="minorEastAsia" w:eastAsiaTheme="minorEastAsia" w:hAnsiTheme="minorEastAsia" w:cs="Times New Roman"/>
          <w:sz w:val="24"/>
          <w:szCs w:val="24"/>
          <w:vertAlign w:val="superscript"/>
        </w:rPr>
      </w:pPr>
      <w:r>
        <w:rPr>
          <w:rFonts w:asciiTheme="minorEastAsia" w:eastAsiaTheme="minorEastAsia" w:hAnsiTheme="minorEastAsia" w:hint="eastAsia"/>
          <w:sz w:val="24"/>
          <w:szCs w:val="24"/>
        </w:rPr>
        <w:t>2.3.2传统汤剂水煎液的制备</w:t>
      </w:r>
      <w:r>
        <w:rPr>
          <w:rFonts w:asciiTheme="minorEastAsia" w:eastAsiaTheme="minorEastAsia" w:hAnsiTheme="minorEastAsia" w:cs="Times New Roman" w:hint="eastAsia"/>
          <w:sz w:val="24"/>
          <w:szCs w:val="24"/>
          <w:vertAlign w:val="superscript"/>
        </w:rPr>
        <w:t>【11】</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准确称取每个方剂所需的各种饮片置于不锈钢桶中，加水至淹没药材3cm，浸泡40分钟，置于电磁炉上加热，起初功率为2.2kw，待水沸腾之后将功率改为900w，根据药材差异煎煮20-40min，滤出药液后加水进行二煎，仍先武火后文火，合并两次药液，混匀，使每副药共煎出药液400ml，放置冷却至室温，备用。</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2.3.3参比溶液的制备</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选择盐酸小</w:t>
      </w:r>
      <w:proofErr w:type="gramStart"/>
      <w:r>
        <w:rPr>
          <w:rFonts w:asciiTheme="minorEastAsia" w:eastAsiaTheme="minorEastAsia" w:hAnsiTheme="minorEastAsia" w:hint="eastAsia"/>
          <w:sz w:val="24"/>
          <w:szCs w:val="24"/>
        </w:rPr>
        <w:t>檗碱作为参</w:t>
      </w:r>
      <w:proofErr w:type="gramEnd"/>
      <w:r>
        <w:rPr>
          <w:rFonts w:asciiTheme="minorEastAsia" w:eastAsiaTheme="minorEastAsia" w:hAnsiTheme="minorEastAsia" w:hint="eastAsia"/>
          <w:sz w:val="24"/>
          <w:szCs w:val="24"/>
        </w:rPr>
        <w:t>比溶液</w:t>
      </w:r>
      <w:r>
        <w:rPr>
          <w:rFonts w:asciiTheme="minorEastAsia" w:eastAsiaTheme="minorEastAsia" w:hAnsiTheme="minorEastAsia" w:cs="Times New Roman" w:hint="eastAsia"/>
          <w:sz w:val="24"/>
          <w:szCs w:val="24"/>
          <w:vertAlign w:val="superscript"/>
        </w:rPr>
        <w:t>【12】</w:t>
      </w:r>
      <w:r>
        <w:rPr>
          <w:rFonts w:asciiTheme="minorEastAsia" w:eastAsiaTheme="minorEastAsia" w:hAnsiTheme="minorEastAsia" w:hint="eastAsia"/>
          <w:sz w:val="24"/>
          <w:szCs w:val="24"/>
        </w:rPr>
        <w:t>，不同浓度的盐酸小</w:t>
      </w:r>
      <w:proofErr w:type="gramStart"/>
      <w:r>
        <w:rPr>
          <w:rFonts w:asciiTheme="minorEastAsia" w:eastAsiaTheme="minorEastAsia" w:hAnsiTheme="minorEastAsia" w:hint="eastAsia"/>
          <w:sz w:val="24"/>
          <w:szCs w:val="24"/>
        </w:rPr>
        <w:t>檗</w:t>
      </w:r>
      <w:proofErr w:type="gramEnd"/>
      <w:r>
        <w:rPr>
          <w:rFonts w:asciiTheme="minorEastAsia" w:eastAsiaTheme="minorEastAsia" w:hAnsiTheme="minorEastAsia" w:hint="eastAsia"/>
          <w:sz w:val="24"/>
          <w:szCs w:val="24"/>
        </w:rPr>
        <w:t>碱溶液代表不同的苦度值，将苦度分为5个等级，每个等级再赋予一定的苦度值范围，给予对应的苦度描述。计算给定浓度所需盐酸小</w:t>
      </w:r>
      <w:proofErr w:type="gramStart"/>
      <w:r>
        <w:rPr>
          <w:rFonts w:asciiTheme="minorEastAsia" w:eastAsiaTheme="minorEastAsia" w:hAnsiTheme="minorEastAsia" w:hint="eastAsia"/>
          <w:sz w:val="24"/>
          <w:szCs w:val="24"/>
        </w:rPr>
        <w:t>檗</w:t>
      </w:r>
      <w:proofErr w:type="gramEnd"/>
      <w:r>
        <w:rPr>
          <w:rFonts w:asciiTheme="minorEastAsia" w:eastAsiaTheme="minorEastAsia" w:hAnsiTheme="minorEastAsia" w:hint="eastAsia"/>
          <w:sz w:val="24"/>
          <w:szCs w:val="24"/>
        </w:rPr>
        <w:t>碱的质量，用电子天平准确称取盐酸小</w:t>
      </w:r>
      <w:proofErr w:type="gramStart"/>
      <w:r>
        <w:rPr>
          <w:rFonts w:asciiTheme="minorEastAsia" w:eastAsiaTheme="minorEastAsia" w:hAnsiTheme="minorEastAsia" w:hint="eastAsia"/>
          <w:sz w:val="24"/>
          <w:szCs w:val="24"/>
        </w:rPr>
        <w:t>檗</w:t>
      </w:r>
      <w:proofErr w:type="gramEnd"/>
      <w:r>
        <w:rPr>
          <w:rFonts w:asciiTheme="minorEastAsia" w:eastAsiaTheme="minorEastAsia" w:hAnsiTheme="minorEastAsia" w:hint="eastAsia"/>
          <w:sz w:val="24"/>
          <w:szCs w:val="24"/>
        </w:rPr>
        <w:t>碱单体质量，置于定量瓶中，加水至刻度，</w:t>
      </w:r>
      <w:proofErr w:type="gramStart"/>
      <w:r>
        <w:rPr>
          <w:rFonts w:asciiTheme="minorEastAsia" w:eastAsiaTheme="minorEastAsia" w:hAnsiTheme="minorEastAsia" w:hint="eastAsia"/>
          <w:sz w:val="24"/>
          <w:szCs w:val="24"/>
        </w:rPr>
        <w:t>超声震荡</w:t>
      </w:r>
      <w:proofErr w:type="gramEnd"/>
      <w:r>
        <w:rPr>
          <w:rFonts w:asciiTheme="minorEastAsia" w:eastAsiaTheme="minorEastAsia" w:hAnsiTheme="minorEastAsia" w:hint="eastAsia"/>
          <w:sz w:val="24"/>
          <w:szCs w:val="24"/>
        </w:rPr>
        <w:t>2min，放置备用。苦度值所对应浓度及描述见表3。</w:t>
      </w:r>
    </w:p>
    <w:p w:rsidR="00FA166D" w:rsidRDefault="00FA166D" w:rsidP="00FA166D">
      <w:pPr>
        <w:spacing w:beforeLines="50" w:before="199"/>
        <w:ind w:firstLineChars="200" w:firstLine="480"/>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表3 苦度等级与对应的参比样品的浓度</w:t>
      </w:r>
    </w:p>
    <w:tbl>
      <w:tblPr>
        <w:tblW w:w="0" w:type="auto"/>
        <w:jc w:val="center"/>
        <w:tblBorders>
          <w:top w:val="single" w:sz="12"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814"/>
        <w:gridCol w:w="2323"/>
        <w:gridCol w:w="583"/>
        <w:gridCol w:w="1676"/>
        <w:gridCol w:w="2551"/>
      </w:tblGrid>
      <w:tr w:rsidR="00FA166D" w:rsidTr="00FA166D">
        <w:trPr>
          <w:trHeight w:val="487"/>
          <w:jc w:val="center"/>
        </w:trPr>
        <w:tc>
          <w:tcPr>
            <w:tcW w:w="814" w:type="dxa"/>
            <w:tcBorders>
              <w:top w:val="single" w:sz="12" w:space="0" w:color="auto"/>
              <w:left w:val="nil"/>
              <w:bottom w:val="single" w:sz="12" w:space="0" w:color="auto"/>
              <w:right w:val="nil"/>
            </w:tcBorders>
            <w:vAlign w:val="center"/>
            <w:hideMark/>
          </w:tcPr>
          <w:p w:rsidR="00FA166D" w:rsidRDefault="00FA166D">
            <w:pPr>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No.</w:t>
            </w:r>
          </w:p>
        </w:tc>
        <w:tc>
          <w:tcPr>
            <w:tcW w:w="2323" w:type="dxa"/>
            <w:tcBorders>
              <w:top w:val="single" w:sz="12" w:space="0" w:color="auto"/>
              <w:left w:val="nil"/>
              <w:bottom w:val="single" w:sz="12" w:space="0" w:color="auto"/>
              <w:right w:val="nil"/>
            </w:tcBorders>
            <w:vAlign w:val="center"/>
            <w:hideMark/>
          </w:tcPr>
          <w:p w:rsidR="00FA166D" w:rsidRDefault="00FA166D">
            <w:pPr>
              <w:ind w:leftChars="-35" w:left="16" w:hangingChars="37" w:hanging="89"/>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苦味程度描述</w:t>
            </w:r>
          </w:p>
        </w:tc>
        <w:tc>
          <w:tcPr>
            <w:tcW w:w="583" w:type="dxa"/>
            <w:tcBorders>
              <w:top w:val="single" w:sz="12" w:space="0" w:color="auto"/>
              <w:left w:val="nil"/>
              <w:bottom w:val="single" w:sz="12" w:space="0" w:color="auto"/>
              <w:right w:val="nil"/>
            </w:tcBorders>
            <w:vAlign w:val="center"/>
            <w:hideMark/>
          </w:tcPr>
          <w:p w:rsidR="00FA166D" w:rsidRDefault="00FA166D">
            <w:pPr>
              <w:ind w:firstLineChars="1" w:firstLine="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RB</w:t>
            </w:r>
          </w:p>
        </w:tc>
        <w:tc>
          <w:tcPr>
            <w:tcW w:w="1676" w:type="dxa"/>
            <w:tcBorders>
              <w:top w:val="single" w:sz="12" w:space="0" w:color="auto"/>
              <w:left w:val="nil"/>
              <w:bottom w:val="single" w:sz="12" w:space="0" w:color="auto"/>
              <w:right w:val="nil"/>
            </w:tcBorders>
            <w:vAlign w:val="center"/>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SAB </w:t>
            </w:r>
          </w:p>
        </w:tc>
        <w:tc>
          <w:tcPr>
            <w:tcW w:w="2551" w:type="dxa"/>
            <w:tcBorders>
              <w:top w:val="single" w:sz="12" w:space="0" w:color="auto"/>
              <w:left w:val="nil"/>
              <w:bottom w:val="single" w:sz="12" w:space="0" w:color="auto"/>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参比样品浓度</w:t>
            </w:r>
          </w:p>
        </w:tc>
      </w:tr>
      <w:tr w:rsidR="00FA166D" w:rsidTr="00FA166D">
        <w:trPr>
          <w:trHeight w:val="170"/>
          <w:jc w:val="center"/>
        </w:trPr>
        <w:tc>
          <w:tcPr>
            <w:tcW w:w="814" w:type="dxa"/>
            <w:tcBorders>
              <w:top w:val="single" w:sz="12" w:space="0" w:color="auto"/>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w:t>
            </w:r>
          </w:p>
        </w:tc>
        <w:tc>
          <w:tcPr>
            <w:tcW w:w="2323" w:type="dxa"/>
            <w:tcBorders>
              <w:top w:val="single" w:sz="12" w:space="0" w:color="auto"/>
              <w:left w:val="nil"/>
              <w:bottom w:val="nil"/>
              <w:right w:val="nil"/>
            </w:tcBorders>
            <w:hideMark/>
          </w:tcPr>
          <w:p w:rsidR="00FA166D" w:rsidRDefault="00FA166D">
            <w:pPr>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不苦</w:t>
            </w:r>
          </w:p>
        </w:tc>
        <w:tc>
          <w:tcPr>
            <w:tcW w:w="583" w:type="dxa"/>
            <w:tcBorders>
              <w:top w:val="single" w:sz="12" w:space="0" w:color="auto"/>
              <w:left w:val="nil"/>
              <w:bottom w:val="nil"/>
              <w:right w:val="nil"/>
            </w:tcBorders>
            <w:hideMark/>
          </w:tcPr>
          <w:p w:rsidR="00FA166D" w:rsidRDefault="00FA166D">
            <w:pPr>
              <w:ind w:firstLineChars="1" w:firstLine="2"/>
              <w:jc w:val="center"/>
              <w:rPr>
                <w:rFonts w:asciiTheme="minorEastAsia" w:eastAsiaTheme="minorEastAsia" w:hAnsiTheme="minorEastAsia" w:cs="Times New Roman"/>
                <w:sz w:val="24"/>
                <w:szCs w:val="24"/>
              </w:rPr>
            </w:pPr>
            <w:r>
              <w:rPr>
                <w:rFonts w:asciiTheme="minorEastAsia" w:eastAsiaTheme="minorEastAsia" w:hAnsiTheme="minorEastAsia" w:cs="宋体" w:hint="eastAsia"/>
                <w:sz w:val="24"/>
                <w:szCs w:val="24"/>
              </w:rPr>
              <w:t>Ⅰ</w:t>
            </w:r>
          </w:p>
        </w:tc>
        <w:tc>
          <w:tcPr>
            <w:tcW w:w="1676" w:type="dxa"/>
            <w:tcBorders>
              <w:top w:val="single" w:sz="12" w:space="0" w:color="auto"/>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[0.5, 1.5)</w:t>
            </w:r>
          </w:p>
        </w:tc>
        <w:tc>
          <w:tcPr>
            <w:tcW w:w="2551" w:type="dxa"/>
            <w:tcBorders>
              <w:top w:val="single" w:sz="12" w:space="0" w:color="auto"/>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0 mg/ml (0 </w:t>
            </w:r>
            <w:proofErr w:type="spellStart"/>
            <w:r>
              <w:rPr>
                <w:rFonts w:asciiTheme="minorEastAsia" w:eastAsiaTheme="minorEastAsia" w:hAnsiTheme="minorEastAsia" w:cs="Times New Roman" w:hint="eastAsia"/>
                <w:sz w:val="24"/>
                <w:szCs w:val="24"/>
              </w:rPr>
              <w:t>mM</w:t>
            </w:r>
            <w:proofErr w:type="spellEnd"/>
            <w:r>
              <w:rPr>
                <w:rFonts w:asciiTheme="minorEastAsia" w:eastAsiaTheme="minorEastAsia" w:hAnsiTheme="minorEastAsia" w:cs="Times New Roman" w:hint="eastAsia"/>
                <w:sz w:val="24"/>
                <w:szCs w:val="24"/>
              </w:rPr>
              <w:t xml:space="preserve"> )</w:t>
            </w:r>
          </w:p>
        </w:tc>
      </w:tr>
      <w:tr w:rsidR="00FA166D" w:rsidTr="00FA166D">
        <w:trPr>
          <w:trHeight w:val="170"/>
          <w:jc w:val="center"/>
        </w:trPr>
        <w:tc>
          <w:tcPr>
            <w:tcW w:w="814"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2</w:t>
            </w:r>
          </w:p>
        </w:tc>
        <w:tc>
          <w:tcPr>
            <w:tcW w:w="2323" w:type="dxa"/>
            <w:tcBorders>
              <w:top w:val="nil"/>
              <w:left w:val="nil"/>
              <w:bottom w:val="nil"/>
              <w:right w:val="nil"/>
            </w:tcBorders>
            <w:hideMark/>
          </w:tcPr>
          <w:p w:rsidR="00FA166D" w:rsidRDefault="00FA166D">
            <w:pPr>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微苦</w:t>
            </w:r>
          </w:p>
        </w:tc>
        <w:tc>
          <w:tcPr>
            <w:tcW w:w="583" w:type="dxa"/>
            <w:tcBorders>
              <w:top w:val="nil"/>
              <w:left w:val="nil"/>
              <w:bottom w:val="nil"/>
              <w:right w:val="nil"/>
            </w:tcBorders>
            <w:hideMark/>
          </w:tcPr>
          <w:p w:rsidR="00FA166D" w:rsidRDefault="00FA166D">
            <w:pPr>
              <w:ind w:firstLineChars="1" w:firstLine="2"/>
              <w:jc w:val="center"/>
              <w:rPr>
                <w:rFonts w:asciiTheme="minorEastAsia" w:eastAsiaTheme="minorEastAsia" w:hAnsiTheme="minorEastAsia" w:cs="Times New Roman"/>
                <w:sz w:val="24"/>
                <w:szCs w:val="24"/>
              </w:rPr>
            </w:pPr>
            <w:r>
              <w:rPr>
                <w:rFonts w:asciiTheme="minorEastAsia" w:eastAsiaTheme="minorEastAsia" w:hAnsiTheme="minorEastAsia" w:cs="宋体" w:hint="eastAsia"/>
                <w:sz w:val="24"/>
                <w:szCs w:val="24"/>
              </w:rPr>
              <w:t>Ⅱ</w:t>
            </w:r>
          </w:p>
        </w:tc>
        <w:tc>
          <w:tcPr>
            <w:tcW w:w="1676"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[1.5, 2.5)</w:t>
            </w:r>
          </w:p>
        </w:tc>
        <w:tc>
          <w:tcPr>
            <w:tcW w:w="2551"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0.01 mg/ml (0.027 </w:t>
            </w:r>
            <w:proofErr w:type="spellStart"/>
            <w:r>
              <w:rPr>
                <w:rFonts w:asciiTheme="minorEastAsia" w:eastAsiaTheme="minorEastAsia" w:hAnsiTheme="minorEastAsia" w:cs="Times New Roman" w:hint="eastAsia"/>
                <w:sz w:val="24"/>
                <w:szCs w:val="24"/>
              </w:rPr>
              <w:t>mM</w:t>
            </w:r>
            <w:proofErr w:type="spellEnd"/>
            <w:r>
              <w:rPr>
                <w:rFonts w:asciiTheme="minorEastAsia" w:eastAsiaTheme="minorEastAsia" w:hAnsiTheme="minorEastAsia" w:cs="Times New Roman" w:hint="eastAsia"/>
                <w:sz w:val="24"/>
                <w:szCs w:val="24"/>
              </w:rPr>
              <w:t xml:space="preserve"> )</w:t>
            </w:r>
          </w:p>
        </w:tc>
      </w:tr>
      <w:tr w:rsidR="00FA166D" w:rsidTr="00FA166D">
        <w:trPr>
          <w:trHeight w:val="170"/>
          <w:jc w:val="center"/>
        </w:trPr>
        <w:tc>
          <w:tcPr>
            <w:tcW w:w="814"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3</w:t>
            </w:r>
          </w:p>
        </w:tc>
        <w:tc>
          <w:tcPr>
            <w:tcW w:w="2323" w:type="dxa"/>
            <w:tcBorders>
              <w:top w:val="nil"/>
              <w:left w:val="nil"/>
              <w:bottom w:val="nil"/>
              <w:right w:val="nil"/>
            </w:tcBorders>
            <w:hideMark/>
          </w:tcPr>
          <w:p w:rsidR="00FA166D" w:rsidRDefault="00FA166D">
            <w:pPr>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中等苦度</w:t>
            </w:r>
          </w:p>
        </w:tc>
        <w:tc>
          <w:tcPr>
            <w:tcW w:w="583" w:type="dxa"/>
            <w:tcBorders>
              <w:top w:val="nil"/>
              <w:left w:val="nil"/>
              <w:bottom w:val="nil"/>
              <w:right w:val="nil"/>
            </w:tcBorders>
            <w:hideMark/>
          </w:tcPr>
          <w:p w:rsidR="00FA166D" w:rsidRDefault="00FA166D">
            <w:pPr>
              <w:ind w:firstLineChars="1" w:firstLine="2"/>
              <w:jc w:val="center"/>
              <w:rPr>
                <w:rFonts w:asciiTheme="minorEastAsia" w:eastAsiaTheme="minorEastAsia" w:hAnsiTheme="minorEastAsia" w:cs="Times New Roman"/>
                <w:sz w:val="24"/>
                <w:szCs w:val="24"/>
              </w:rPr>
            </w:pPr>
            <w:r>
              <w:rPr>
                <w:rFonts w:asciiTheme="minorEastAsia" w:eastAsiaTheme="minorEastAsia" w:hAnsiTheme="minorEastAsia" w:cs="宋体" w:hint="eastAsia"/>
                <w:sz w:val="24"/>
                <w:szCs w:val="24"/>
              </w:rPr>
              <w:t>Ⅲ</w:t>
            </w:r>
          </w:p>
        </w:tc>
        <w:tc>
          <w:tcPr>
            <w:tcW w:w="1676"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[2.5, 3.5)</w:t>
            </w:r>
          </w:p>
        </w:tc>
        <w:tc>
          <w:tcPr>
            <w:tcW w:w="2551"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0.05 mg/ml (0.134 </w:t>
            </w:r>
            <w:proofErr w:type="spellStart"/>
            <w:r>
              <w:rPr>
                <w:rFonts w:asciiTheme="minorEastAsia" w:eastAsiaTheme="minorEastAsia" w:hAnsiTheme="minorEastAsia" w:cs="Times New Roman" w:hint="eastAsia"/>
                <w:sz w:val="24"/>
                <w:szCs w:val="24"/>
              </w:rPr>
              <w:t>mM</w:t>
            </w:r>
            <w:proofErr w:type="spellEnd"/>
            <w:r>
              <w:rPr>
                <w:rFonts w:asciiTheme="minorEastAsia" w:eastAsiaTheme="minorEastAsia" w:hAnsiTheme="minorEastAsia" w:cs="Times New Roman" w:hint="eastAsia"/>
                <w:sz w:val="24"/>
                <w:szCs w:val="24"/>
              </w:rPr>
              <w:t xml:space="preserve"> )</w:t>
            </w:r>
          </w:p>
        </w:tc>
      </w:tr>
      <w:tr w:rsidR="00FA166D" w:rsidTr="00FA166D">
        <w:trPr>
          <w:trHeight w:val="170"/>
          <w:jc w:val="center"/>
        </w:trPr>
        <w:tc>
          <w:tcPr>
            <w:tcW w:w="814"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4</w:t>
            </w:r>
          </w:p>
        </w:tc>
        <w:tc>
          <w:tcPr>
            <w:tcW w:w="2323" w:type="dxa"/>
            <w:tcBorders>
              <w:top w:val="nil"/>
              <w:left w:val="nil"/>
              <w:bottom w:val="nil"/>
              <w:right w:val="nil"/>
            </w:tcBorders>
            <w:hideMark/>
          </w:tcPr>
          <w:p w:rsidR="00FA166D" w:rsidRDefault="00FA166D">
            <w:pPr>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很苦 (但仍可接受) </w:t>
            </w:r>
          </w:p>
        </w:tc>
        <w:tc>
          <w:tcPr>
            <w:tcW w:w="583" w:type="dxa"/>
            <w:tcBorders>
              <w:top w:val="nil"/>
              <w:left w:val="nil"/>
              <w:bottom w:val="nil"/>
              <w:right w:val="nil"/>
            </w:tcBorders>
            <w:hideMark/>
          </w:tcPr>
          <w:p w:rsidR="00FA166D" w:rsidRDefault="00FA166D">
            <w:pPr>
              <w:ind w:firstLineChars="1" w:firstLine="2"/>
              <w:jc w:val="center"/>
              <w:rPr>
                <w:rFonts w:asciiTheme="minorEastAsia" w:eastAsiaTheme="minorEastAsia" w:hAnsiTheme="minorEastAsia" w:cs="Times New Roman"/>
                <w:sz w:val="24"/>
                <w:szCs w:val="24"/>
              </w:rPr>
            </w:pPr>
            <w:r>
              <w:rPr>
                <w:rFonts w:asciiTheme="minorEastAsia" w:eastAsiaTheme="minorEastAsia" w:hAnsiTheme="minorEastAsia" w:cs="宋体" w:hint="eastAsia"/>
                <w:sz w:val="24"/>
                <w:szCs w:val="24"/>
              </w:rPr>
              <w:t>Ⅳ</w:t>
            </w:r>
          </w:p>
        </w:tc>
        <w:tc>
          <w:tcPr>
            <w:tcW w:w="1676"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[3.5, 4.5)</w:t>
            </w:r>
          </w:p>
        </w:tc>
        <w:tc>
          <w:tcPr>
            <w:tcW w:w="2551" w:type="dxa"/>
            <w:tcBorders>
              <w:top w:val="nil"/>
              <w:left w:val="nil"/>
              <w:bottom w:val="nil"/>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0.1 mg/ml (0.269 </w:t>
            </w:r>
            <w:proofErr w:type="spellStart"/>
            <w:r>
              <w:rPr>
                <w:rFonts w:asciiTheme="minorEastAsia" w:eastAsiaTheme="minorEastAsia" w:hAnsiTheme="minorEastAsia" w:cs="Times New Roman" w:hint="eastAsia"/>
                <w:sz w:val="24"/>
                <w:szCs w:val="24"/>
              </w:rPr>
              <w:t>mM</w:t>
            </w:r>
            <w:proofErr w:type="spellEnd"/>
            <w:r>
              <w:rPr>
                <w:rFonts w:asciiTheme="minorEastAsia" w:eastAsiaTheme="minorEastAsia" w:hAnsiTheme="minorEastAsia" w:cs="Times New Roman" w:hint="eastAsia"/>
                <w:sz w:val="24"/>
                <w:szCs w:val="24"/>
              </w:rPr>
              <w:t xml:space="preserve"> )</w:t>
            </w:r>
          </w:p>
        </w:tc>
      </w:tr>
      <w:tr w:rsidR="00FA166D" w:rsidTr="00FA166D">
        <w:trPr>
          <w:trHeight w:val="170"/>
          <w:jc w:val="center"/>
        </w:trPr>
        <w:tc>
          <w:tcPr>
            <w:tcW w:w="814" w:type="dxa"/>
            <w:tcBorders>
              <w:top w:val="nil"/>
              <w:left w:val="nil"/>
              <w:bottom w:val="single" w:sz="12" w:space="0" w:color="auto"/>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5</w:t>
            </w:r>
          </w:p>
        </w:tc>
        <w:tc>
          <w:tcPr>
            <w:tcW w:w="2323" w:type="dxa"/>
            <w:tcBorders>
              <w:top w:val="nil"/>
              <w:left w:val="nil"/>
              <w:bottom w:val="single" w:sz="12" w:space="0" w:color="auto"/>
              <w:right w:val="nil"/>
            </w:tcBorders>
            <w:hideMark/>
          </w:tcPr>
          <w:p w:rsidR="00FA166D" w:rsidRDefault="00FA166D">
            <w:pPr>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极苦 (几乎不能接受)</w:t>
            </w:r>
          </w:p>
        </w:tc>
        <w:tc>
          <w:tcPr>
            <w:tcW w:w="583" w:type="dxa"/>
            <w:tcBorders>
              <w:top w:val="nil"/>
              <w:left w:val="nil"/>
              <w:bottom w:val="single" w:sz="12" w:space="0" w:color="auto"/>
              <w:right w:val="nil"/>
            </w:tcBorders>
            <w:hideMark/>
          </w:tcPr>
          <w:p w:rsidR="00FA166D" w:rsidRDefault="00FA166D">
            <w:pPr>
              <w:ind w:firstLineChars="1" w:firstLine="2"/>
              <w:jc w:val="center"/>
              <w:rPr>
                <w:rFonts w:asciiTheme="minorEastAsia" w:eastAsiaTheme="minorEastAsia" w:hAnsiTheme="minorEastAsia" w:cs="Times New Roman"/>
                <w:sz w:val="24"/>
                <w:szCs w:val="24"/>
              </w:rPr>
            </w:pPr>
            <w:r>
              <w:rPr>
                <w:rFonts w:asciiTheme="minorEastAsia" w:eastAsiaTheme="minorEastAsia" w:hAnsiTheme="minorEastAsia" w:cs="宋体" w:hint="eastAsia"/>
                <w:sz w:val="24"/>
                <w:szCs w:val="24"/>
              </w:rPr>
              <w:t>Ⅴ</w:t>
            </w:r>
          </w:p>
        </w:tc>
        <w:tc>
          <w:tcPr>
            <w:tcW w:w="1676" w:type="dxa"/>
            <w:tcBorders>
              <w:top w:val="nil"/>
              <w:left w:val="nil"/>
              <w:bottom w:val="single" w:sz="12" w:space="0" w:color="auto"/>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[4.5, 5.5]</w:t>
            </w:r>
          </w:p>
        </w:tc>
        <w:tc>
          <w:tcPr>
            <w:tcW w:w="2551" w:type="dxa"/>
            <w:tcBorders>
              <w:top w:val="nil"/>
              <w:left w:val="nil"/>
              <w:bottom w:val="single" w:sz="12" w:space="0" w:color="auto"/>
              <w:right w:val="nil"/>
            </w:tcBorders>
            <w:hideMark/>
          </w:tcPr>
          <w:p w:rsidR="00FA166D" w:rsidRDefault="00FA166D">
            <w:pPr>
              <w:ind w:left="2" w:hangingChars="1" w:hanging="2"/>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0.5 mg/ml (1.344 </w:t>
            </w:r>
            <w:proofErr w:type="spellStart"/>
            <w:r>
              <w:rPr>
                <w:rFonts w:asciiTheme="minorEastAsia" w:eastAsiaTheme="minorEastAsia" w:hAnsiTheme="minorEastAsia" w:cs="Times New Roman" w:hint="eastAsia"/>
                <w:sz w:val="24"/>
                <w:szCs w:val="24"/>
              </w:rPr>
              <w:t>mM</w:t>
            </w:r>
            <w:proofErr w:type="spellEnd"/>
            <w:r>
              <w:rPr>
                <w:rFonts w:asciiTheme="minorEastAsia" w:eastAsiaTheme="minorEastAsia" w:hAnsiTheme="minorEastAsia" w:cs="Times New Roman" w:hint="eastAsia"/>
                <w:sz w:val="24"/>
                <w:szCs w:val="24"/>
              </w:rPr>
              <w:t xml:space="preserve"> )</w:t>
            </w:r>
          </w:p>
        </w:tc>
      </w:tr>
    </w:tbl>
    <w:p w:rsidR="00FA166D" w:rsidRDefault="00FA166D" w:rsidP="00FA166D">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sz w:val="24"/>
          <w:szCs w:val="24"/>
        </w:rPr>
        <w:t>2.4实验结果</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2.4.1</w:t>
      </w:r>
      <w:proofErr w:type="gramStart"/>
      <w:r>
        <w:rPr>
          <w:rFonts w:asciiTheme="minorEastAsia" w:eastAsiaTheme="minorEastAsia" w:hAnsiTheme="minorEastAsia" w:hint="eastAsia"/>
          <w:sz w:val="24"/>
          <w:szCs w:val="24"/>
        </w:rPr>
        <w:t>抑苦增甜</w:t>
      </w:r>
      <w:proofErr w:type="gramEnd"/>
      <w:r>
        <w:rPr>
          <w:rFonts w:asciiTheme="minorEastAsia" w:eastAsiaTheme="minorEastAsia" w:hAnsiTheme="minorEastAsia" w:hint="eastAsia"/>
          <w:sz w:val="24"/>
          <w:szCs w:val="24"/>
        </w:rPr>
        <w:t>实验</w:t>
      </w:r>
    </w:p>
    <w:p w:rsidR="00FA166D" w:rsidRDefault="00FA166D" w:rsidP="00FA16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组织</w:t>
      </w:r>
      <w:proofErr w:type="gramStart"/>
      <w:r>
        <w:rPr>
          <w:rFonts w:asciiTheme="minorEastAsia" w:eastAsiaTheme="minorEastAsia" w:hAnsiTheme="minorEastAsia" w:hint="eastAsia"/>
          <w:sz w:val="24"/>
          <w:szCs w:val="24"/>
        </w:rPr>
        <w:t>评价员口</w:t>
      </w:r>
      <w:proofErr w:type="gramEnd"/>
      <w:r>
        <w:rPr>
          <w:rFonts w:asciiTheme="minorEastAsia" w:eastAsiaTheme="minorEastAsia" w:hAnsiTheme="minorEastAsia" w:hint="eastAsia"/>
          <w:sz w:val="24"/>
          <w:szCs w:val="24"/>
        </w:rPr>
        <w:t>尝评价，进行苦度值评分和排序，评分和排序之和最小者即为最优方案，实验结果见下图，御寒颗粒原汤剂苦度值：3.43±0.48。</w:t>
      </w:r>
    </w:p>
    <w:p w:rsidR="00FA166D" w:rsidRDefault="00FA166D" w:rsidP="00FA166D">
      <w:pPr>
        <w:spacing w:line="360" w:lineRule="auto"/>
        <w:ind w:firstLineChars="200" w:firstLine="440"/>
        <w:jc w:val="center"/>
        <w:rPr>
          <w:rFonts w:asciiTheme="minorEastAsia" w:eastAsiaTheme="minorEastAsia" w:hAnsiTheme="minorEastAsia" w:cs="Times New Roman"/>
          <w:sz w:val="24"/>
          <w:szCs w:val="24"/>
        </w:rPr>
      </w:pPr>
      <w:r>
        <w:rPr>
          <w:rFonts w:ascii="Tahoma" w:eastAsia="微软雅黑" w:hAnsi="Tahoma" w:hint="eastAsia"/>
          <w:noProof/>
          <w:sz w:val="22"/>
          <w:szCs w:val="22"/>
        </w:rPr>
        <w:drawing>
          <wp:anchor distT="0" distB="0" distL="114300" distR="114300" simplePos="0" relativeHeight="251669504" behindDoc="0" locked="0" layoutInCell="1" allowOverlap="1">
            <wp:simplePos x="0" y="0"/>
            <wp:positionH relativeFrom="column">
              <wp:posOffset>555625</wp:posOffset>
            </wp:positionH>
            <wp:positionV relativeFrom="paragraph">
              <wp:posOffset>72390</wp:posOffset>
            </wp:positionV>
            <wp:extent cx="2067560" cy="1823085"/>
            <wp:effectExtent l="0" t="0" r="8890" b="5715"/>
            <wp:wrapNone/>
            <wp:docPr id="6" name="图表 6">
              <a:extLst xmlns:a="http://schemas.openxmlformats.org/drawingml/2006/main">
                <a:ext uri="{FF2B5EF4-FFF2-40B4-BE49-F238E27FC236}">
                  <a16:creationId xmlns:a16="http://schemas.microsoft.com/office/drawing/2014/main" id="{DD481669-C1CC-41E0-B9A6-16317BD94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Tahoma" w:eastAsia="微软雅黑" w:hAnsi="Tahoma" w:hint="eastAsia"/>
          <w:noProof/>
          <w:sz w:val="22"/>
          <w:szCs w:val="22"/>
        </w:rPr>
        <w:drawing>
          <wp:anchor distT="0" distB="0" distL="114300" distR="114300" simplePos="0" relativeHeight="251670528" behindDoc="0" locked="0" layoutInCell="1" allowOverlap="1">
            <wp:simplePos x="0" y="0"/>
            <wp:positionH relativeFrom="column">
              <wp:posOffset>694055</wp:posOffset>
            </wp:positionH>
            <wp:positionV relativeFrom="paragraph">
              <wp:posOffset>1889760</wp:posOffset>
            </wp:positionV>
            <wp:extent cx="1927860" cy="1665605"/>
            <wp:effectExtent l="0" t="0" r="0" b="0"/>
            <wp:wrapNone/>
            <wp:docPr id="5" name="图表 5">
              <a:extLst xmlns:a="http://schemas.openxmlformats.org/drawingml/2006/main">
                <a:ext uri="{FF2B5EF4-FFF2-40B4-BE49-F238E27FC236}">
                  <a16:creationId xmlns:a16="http://schemas.microsoft.com/office/drawing/2014/main" id="{4CA53289-304D-4908-B323-9DFD8989A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Tahoma" w:eastAsia="微软雅黑" w:hAnsi="Tahoma" w:hint="eastAsia"/>
          <w:noProof/>
          <w:sz w:val="22"/>
          <w:szCs w:val="22"/>
        </w:rPr>
        <w:drawing>
          <wp:anchor distT="0" distB="0" distL="114300" distR="114300" simplePos="0" relativeHeight="251671552" behindDoc="0" locked="0" layoutInCell="1" allowOverlap="1">
            <wp:simplePos x="0" y="0"/>
            <wp:positionH relativeFrom="margin">
              <wp:posOffset>2849245</wp:posOffset>
            </wp:positionH>
            <wp:positionV relativeFrom="paragraph">
              <wp:posOffset>65405</wp:posOffset>
            </wp:positionV>
            <wp:extent cx="2365375" cy="1914525"/>
            <wp:effectExtent l="0" t="0" r="0" b="0"/>
            <wp:wrapNone/>
            <wp:docPr id="4" name="图表 4">
              <a:extLst xmlns:a="http://schemas.openxmlformats.org/drawingml/2006/main">
                <a:ext uri="{FF2B5EF4-FFF2-40B4-BE49-F238E27FC236}">
                  <a16:creationId xmlns:a16="http://schemas.microsoft.com/office/drawing/2014/main" id="{A1EA6EC3-6E88-4B85-BA60-AD09EE676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Tahoma" w:eastAsia="微软雅黑" w:hAnsi="Tahoma" w:hint="eastAsia"/>
          <w:noProof/>
          <w:sz w:val="22"/>
          <w:szCs w:val="22"/>
        </w:rPr>
        <w:drawing>
          <wp:anchor distT="0" distB="0" distL="114300" distR="114300" simplePos="0" relativeHeight="251672576" behindDoc="0" locked="0" layoutInCell="1" allowOverlap="1">
            <wp:simplePos x="0" y="0"/>
            <wp:positionH relativeFrom="column">
              <wp:posOffset>2831465</wp:posOffset>
            </wp:positionH>
            <wp:positionV relativeFrom="paragraph">
              <wp:posOffset>1871980</wp:posOffset>
            </wp:positionV>
            <wp:extent cx="2200910" cy="1683385"/>
            <wp:effectExtent l="0" t="0" r="8890" b="0"/>
            <wp:wrapNone/>
            <wp:docPr id="2" name="图表 2">
              <a:extLst xmlns:a="http://schemas.openxmlformats.org/drawingml/2006/main">
                <a:ext uri="{FF2B5EF4-FFF2-40B4-BE49-F238E27FC236}">
                  <a16:creationId xmlns:a16="http://schemas.microsoft.com/office/drawing/2014/main" id="{048C7130-BD1F-47FC-A7DA-5AD6B4CC4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FA166D" w:rsidRDefault="00FA166D" w:rsidP="00FA166D">
      <w:pPr>
        <w:spacing w:line="360" w:lineRule="auto"/>
        <w:ind w:firstLineChars="200" w:firstLine="480"/>
        <w:rPr>
          <w:rFonts w:asciiTheme="minorEastAsia" w:eastAsiaTheme="minorEastAsia" w:hAnsiTheme="minorEastAsia" w:cs="Times New Roman"/>
          <w:sz w:val="24"/>
          <w:szCs w:val="24"/>
        </w:rPr>
      </w:pPr>
    </w:p>
    <w:p w:rsidR="00FA166D" w:rsidRDefault="00FA166D" w:rsidP="00FA166D">
      <w:pPr>
        <w:spacing w:line="360" w:lineRule="auto"/>
        <w:ind w:firstLineChars="200" w:firstLine="480"/>
        <w:rPr>
          <w:rFonts w:asciiTheme="minorEastAsia" w:eastAsiaTheme="minorEastAsia" w:hAnsiTheme="minorEastAsia" w:cs="Times New Roman"/>
          <w:sz w:val="24"/>
          <w:szCs w:val="24"/>
        </w:rPr>
      </w:pPr>
    </w:p>
    <w:p w:rsidR="00FA166D" w:rsidRDefault="00FA166D" w:rsidP="00FA166D">
      <w:pPr>
        <w:spacing w:line="360" w:lineRule="auto"/>
        <w:ind w:firstLineChars="200" w:firstLine="480"/>
        <w:rPr>
          <w:rFonts w:asciiTheme="minorEastAsia" w:eastAsiaTheme="minorEastAsia" w:hAnsiTheme="minorEastAsia" w:cs="Times New Roman"/>
          <w:sz w:val="24"/>
          <w:szCs w:val="24"/>
        </w:rPr>
      </w:pPr>
    </w:p>
    <w:p w:rsidR="00FA166D" w:rsidRDefault="00FA166D" w:rsidP="00FA166D">
      <w:pPr>
        <w:spacing w:line="360" w:lineRule="auto"/>
        <w:ind w:firstLineChars="200" w:firstLine="480"/>
        <w:rPr>
          <w:rFonts w:asciiTheme="minorEastAsia" w:eastAsiaTheme="minorEastAsia" w:hAnsiTheme="minorEastAsia" w:cs="Times New Roman"/>
          <w:sz w:val="24"/>
          <w:szCs w:val="24"/>
        </w:rPr>
      </w:pPr>
    </w:p>
    <w:p w:rsidR="00FA166D" w:rsidRDefault="00FA166D" w:rsidP="00FA166D">
      <w:pPr>
        <w:spacing w:line="360" w:lineRule="auto"/>
        <w:ind w:firstLineChars="200" w:firstLine="480"/>
        <w:rPr>
          <w:rFonts w:asciiTheme="minorEastAsia" w:eastAsiaTheme="minorEastAsia" w:hAnsiTheme="minorEastAsia" w:cs="Times New Roman"/>
          <w:sz w:val="24"/>
          <w:szCs w:val="24"/>
        </w:rPr>
      </w:pPr>
    </w:p>
    <w:p w:rsidR="00FA166D" w:rsidRDefault="00FA166D" w:rsidP="00FA166D">
      <w:pPr>
        <w:spacing w:line="360" w:lineRule="auto"/>
        <w:ind w:firstLineChars="200" w:firstLine="480"/>
        <w:rPr>
          <w:rFonts w:asciiTheme="minorEastAsia" w:eastAsiaTheme="minorEastAsia" w:hAnsiTheme="minorEastAsia" w:cs="Times New Roman"/>
          <w:sz w:val="24"/>
          <w:szCs w:val="24"/>
        </w:rPr>
      </w:pPr>
    </w:p>
    <w:p w:rsidR="00FA166D" w:rsidRDefault="00FA166D" w:rsidP="00FA166D">
      <w:pPr>
        <w:spacing w:line="360" w:lineRule="auto"/>
        <w:ind w:firstLineChars="200" w:firstLine="480"/>
        <w:jc w:val="center"/>
        <w:rPr>
          <w:rFonts w:asciiTheme="minorEastAsia" w:eastAsiaTheme="minorEastAsia" w:hAnsiTheme="minorEastAsia" w:cs="Times New Roman"/>
          <w:sz w:val="24"/>
          <w:szCs w:val="24"/>
        </w:rPr>
      </w:pPr>
    </w:p>
    <w:p w:rsidR="00FA166D" w:rsidRDefault="00FA166D" w:rsidP="00FA166D">
      <w:pPr>
        <w:spacing w:line="360" w:lineRule="auto"/>
        <w:ind w:firstLineChars="200" w:firstLine="480"/>
        <w:jc w:val="center"/>
        <w:rPr>
          <w:rFonts w:asciiTheme="minorEastAsia" w:eastAsiaTheme="minorEastAsia" w:hAnsiTheme="minorEastAsia" w:cs="Times New Roman"/>
          <w:sz w:val="24"/>
          <w:szCs w:val="24"/>
        </w:rPr>
      </w:pPr>
    </w:p>
    <w:p w:rsidR="00FA166D" w:rsidRDefault="00FA166D" w:rsidP="00FA166D">
      <w:pPr>
        <w:spacing w:line="360" w:lineRule="auto"/>
        <w:ind w:firstLineChars="200" w:firstLine="480"/>
        <w:jc w:val="center"/>
        <w:rPr>
          <w:rFonts w:asciiTheme="minorEastAsia" w:eastAsiaTheme="minorEastAsia" w:hAnsiTheme="minorEastAsia" w:cs="Times New Roman"/>
          <w:sz w:val="24"/>
          <w:szCs w:val="24"/>
        </w:rPr>
      </w:pPr>
    </w:p>
    <w:p w:rsidR="00FA166D" w:rsidRDefault="00FA166D" w:rsidP="00FA166D">
      <w:pPr>
        <w:spacing w:line="360" w:lineRule="auto"/>
        <w:ind w:firstLineChars="200" w:firstLine="480"/>
        <w:jc w:val="center"/>
        <w:rPr>
          <w:rFonts w:asciiTheme="minorEastAsia" w:eastAsiaTheme="minorEastAsia" w:hAnsiTheme="minorEastAsia" w:cs="Times New Roman"/>
          <w:sz w:val="24"/>
          <w:szCs w:val="24"/>
        </w:rPr>
      </w:pPr>
    </w:p>
    <w:p w:rsidR="00FA166D" w:rsidRDefault="00FA166D" w:rsidP="00FA166D">
      <w:pPr>
        <w:spacing w:line="360" w:lineRule="auto"/>
        <w:rPr>
          <w:rFonts w:asciiTheme="minorEastAsia" w:eastAsiaTheme="minorEastAsia" w:hAnsiTheme="minorEastAsia" w:cs="Times New Roman"/>
          <w:sz w:val="24"/>
          <w:szCs w:val="24"/>
        </w:rPr>
      </w:pPr>
    </w:p>
    <w:p w:rsidR="00FA166D" w:rsidRDefault="00FA166D" w:rsidP="00FA166D">
      <w:pPr>
        <w:spacing w:line="360" w:lineRule="auto"/>
        <w:ind w:firstLineChars="200" w:firstLine="480"/>
        <w:jc w:val="center"/>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图1   口</w:t>
      </w:r>
      <w:proofErr w:type="gramStart"/>
      <w:r>
        <w:rPr>
          <w:rFonts w:asciiTheme="minorEastAsia" w:eastAsiaTheme="minorEastAsia" w:hAnsiTheme="minorEastAsia" w:cs="Times New Roman" w:hint="eastAsia"/>
          <w:sz w:val="24"/>
          <w:szCs w:val="24"/>
        </w:rPr>
        <w:t>尝评价</w:t>
      </w:r>
      <w:proofErr w:type="gramEnd"/>
      <w:r>
        <w:rPr>
          <w:rFonts w:asciiTheme="minorEastAsia" w:eastAsiaTheme="minorEastAsia" w:hAnsiTheme="minorEastAsia" w:cs="Times New Roman" w:hint="eastAsia"/>
          <w:sz w:val="24"/>
          <w:szCs w:val="24"/>
        </w:rPr>
        <w:t>结果（n=20,</w:t>
      </w:r>
      <w:r>
        <w:rPr>
          <w:rFonts w:asciiTheme="minorEastAsia" w:eastAsiaTheme="minorEastAsia" w:hAnsiTheme="minorEastAsia" w:hint="eastAsia"/>
          <w:sz w:val="24"/>
          <w:szCs w:val="24"/>
        </w:rPr>
        <w:t xml:space="preserve"> p&lt;0.05</w:t>
      </w:r>
      <w:r>
        <w:rPr>
          <w:rFonts w:asciiTheme="minorEastAsia" w:eastAsiaTheme="minorEastAsia" w:hAnsiTheme="minorEastAsia" w:cs="Times New Roman" w:hint="eastAsia"/>
          <w:sz w:val="24"/>
          <w:szCs w:val="24"/>
        </w:rPr>
        <w:t>）</w:t>
      </w:r>
    </w:p>
    <w:p w:rsidR="00FA166D" w:rsidRDefault="00FA166D" w:rsidP="00FA166D">
      <w:pPr>
        <w:spacing w:line="360" w:lineRule="auto"/>
        <w:ind w:firstLineChars="250" w:firstLine="600"/>
        <w:rPr>
          <w:rFonts w:asciiTheme="minorEastAsia" w:eastAsiaTheme="minorEastAsia" w:hAnsiTheme="minorEastAsia"/>
          <w:sz w:val="24"/>
          <w:szCs w:val="24"/>
        </w:rPr>
      </w:pPr>
      <w:r>
        <w:rPr>
          <w:rFonts w:asciiTheme="minorEastAsia" w:eastAsiaTheme="minorEastAsia" w:hAnsiTheme="minorEastAsia" w:hint="eastAsia"/>
          <w:sz w:val="24"/>
          <w:szCs w:val="24"/>
        </w:rPr>
        <w:t>由结果可知， S5和S7苦度值加排序之和最小，考虑成本-效能问题，选择实验编号5为最优方案。将所选出的最优方案分别加蔗糖5g、10g、20g做三次试验，实验结果如表4。当蔗糖添加量为10g时的样品苦度值及排序最低，因此确定蔗糖最佳配方为10g。</w:t>
      </w:r>
    </w:p>
    <w:p w:rsidR="00FA166D" w:rsidRDefault="00FA166D" w:rsidP="00FA166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表4 加蔗糖调试后实验结果</w:t>
      </w:r>
      <w:r>
        <w:rPr>
          <w:rFonts w:asciiTheme="minorEastAsia" w:eastAsiaTheme="minorEastAsia" w:hAnsiTheme="minorEastAsia" w:cs="Times New Roman" w:hint="eastAsia"/>
          <w:sz w:val="24"/>
          <w:szCs w:val="24"/>
        </w:rPr>
        <w:t>（n=20,</w:t>
      </w:r>
      <w:r>
        <w:rPr>
          <w:rFonts w:asciiTheme="minorEastAsia" w:eastAsiaTheme="minorEastAsia" w:hAnsiTheme="minorEastAsia" w:hint="eastAsia"/>
          <w:sz w:val="24"/>
          <w:szCs w:val="24"/>
        </w:rPr>
        <w:t xml:space="preserve"> p&lt;0.05</w:t>
      </w:r>
      <w:r>
        <w:rPr>
          <w:rFonts w:asciiTheme="minorEastAsia" w:eastAsiaTheme="minorEastAsia" w:hAnsiTheme="minorEastAsia" w:cs="Times New Roman" w:hint="eastAsia"/>
          <w:sz w:val="24"/>
          <w:szCs w:val="24"/>
        </w:rPr>
        <w:t>）</w:t>
      </w:r>
    </w:p>
    <w:tbl>
      <w:tblPr>
        <w:tblW w:w="4840" w:type="dxa"/>
        <w:jc w:val="center"/>
        <w:tblBorders>
          <w:top w:val="single" w:sz="12" w:space="0" w:color="auto"/>
          <w:bottom w:val="single" w:sz="12" w:space="0" w:color="auto"/>
        </w:tblBorders>
        <w:tblLook w:val="04A0" w:firstRow="1" w:lastRow="0" w:firstColumn="1" w:lastColumn="0" w:noHBand="0" w:noVBand="1"/>
      </w:tblPr>
      <w:tblGrid>
        <w:gridCol w:w="1660"/>
        <w:gridCol w:w="1580"/>
        <w:gridCol w:w="1600"/>
      </w:tblGrid>
      <w:tr w:rsidR="00FA166D" w:rsidTr="00FA166D">
        <w:trPr>
          <w:trHeight w:val="285"/>
          <w:jc w:val="center"/>
        </w:trPr>
        <w:tc>
          <w:tcPr>
            <w:tcW w:w="1660" w:type="dxa"/>
            <w:tcBorders>
              <w:top w:val="single" w:sz="12" w:space="0" w:color="auto"/>
              <w:left w:val="nil"/>
              <w:bottom w:val="single" w:sz="12" w:space="0" w:color="auto"/>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水平</w:t>
            </w:r>
          </w:p>
        </w:tc>
        <w:tc>
          <w:tcPr>
            <w:tcW w:w="1580" w:type="dxa"/>
            <w:tcBorders>
              <w:top w:val="single" w:sz="12" w:space="0" w:color="auto"/>
              <w:left w:val="nil"/>
              <w:bottom w:val="single" w:sz="12" w:space="0" w:color="auto"/>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苦度值</w:t>
            </w:r>
          </w:p>
        </w:tc>
        <w:tc>
          <w:tcPr>
            <w:tcW w:w="1600" w:type="dxa"/>
            <w:tcBorders>
              <w:top w:val="single" w:sz="12" w:space="0" w:color="auto"/>
              <w:left w:val="nil"/>
              <w:bottom w:val="single" w:sz="12" w:space="0" w:color="auto"/>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排序</w:t>
            </w:r>
          </w:p>
        </w:tc>
      </w:tr>
      <w:tr w:rsidR="00FA166D" w:rsidTr="00FA166D">
        <w:trPr>
          <w:trHeight w:val="285"/>
          <w:jc w:val="center"/>
        </w:trPr>
        <w:tc>
          <w:tcPr>
            <w:tcW w:w="1660" w:type="dxa"/>
            <w:tcBorders>
              <w:top w:val="single" w:sz="12" w:space="0" w:color="auto"/>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5g</w:t>
            </w:r>
          </w:p>
        </w:tc>
        <w:tc>
          <w:tcPr>
            <w:tcW w:w="1580" w:type="dxa"/>
            <w:tcBorders>
              <w:top w:val="single" w:sz="12" w:space="0" w:color="auto"/>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2.06±0.54</w:t>
            </w:r>
          </w:p>
        </w:tc>
        <w:tc>
          <w:tcPr>
            <w:tcW w:w="1600" w:type="dxa"/>
            <w:tcBorders>
              <w:top w:val="single" w:sz="12" w:space="0" w:color="auto"/>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2.11±0.74</w:t>
            </w:r>
          </w:p>
        </w:tc>
      </w:tr>
      <w:tr w:rsidR="00FA166D" w:rsidTr="00FA166D">
        <w:trPr>
          <w:trHeight w:val="285"/>
          <w:jc w:val="center"/>
        </w:trPr>
        <w:tc>
          <w:tcPr>
            <w:tcW w:w="1660" w:type="dxa"/>
            <w:tcBorders>
              <w:top w:val="nil"/>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10g</w:t>
            </w:r>
          </w:p>
        </w:tc>
        <w:tc>
          <w:tcPr>
            <w:tcW w:w="1580" w:type="dxa"/>
            <w:tcBorders>
              <w:top w:val="nil"/>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1.88±0.51</w:t>
            </w:r>
          </w:p>
        </w:tc>
        <w:tc>
          <w:tcPr>
            <w:tcW w:w="1600" w:type="dxa"/>
            <w:tcBorders>
              <w:top w:val="nil"/>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1.68±0.75</w:t>
            </w:r>
          </w:p>
        </w:tc>
      </w:tr>
      <w:tr w:rsidR="00FA166D" w:rsidTr="00FA166D">
        <w:trPr>
          <w:trHeight w:val="285"/>
          <w:jc w:val="center"/>
        </w:trPr>
        <w:tc>
          <w:tcPr>
            <w:tcW w:w="1660" w:type="dxa"/>
            <w:tcBorders>
              <w:top w:val="nil"/>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20g</w:t>
            </w:r>
          </w:p>
        </w:tc>
        <w:tc>
          <w:tcPr>
            <w:tcW w:w="1580" w:type="dxa"/>
            <w:tcBorders>
              <w:top w:val="nil"/>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1.91±0.57</w:t>
            </w:r>
          </w:p>
        </w:tc>
        <w:tc>
          <w:tcPr>
            <w:tcW w:w="1600" w:type="dxa"/>
            <w:tcBorders>
              <w:top w:val="nil"/>
              <w:left w:val="nil"/>
              <w:bottom w:val="nil"/>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2.21±0.92</w:t>
            </w:r>
          </w:p>
        </w:tc>
      </w:tr>
      <w:tr w:rsidR="00FA166D" w:rsidTr="00FA166D">
        <w:trPr>
          <w:trHeight w:val="285"/>
          <w:jc w:val="center"/>
        </w:trPr>
        <w:tc>
          <w:tcPr>
            <w:tcW w:w="1660" w:type="dxa"/>
            <w:tcBorders>
              <w:top w:val="nil"/>
              <w:left w:val="nil"/>
              <w:bottom w:val="single" w:sz="12" w:space="0" w:color="auto"/>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原汤剂</w:t>
            </w:r>
          </w:p>
        </w:tc>
        <w:tc>
          <w:tcPr>
            <w:tcW w:w="1580" w:type="dxa"/>
            <w:tcBorders>
              <w:top w:val="nil"/>
              <w:left w:val="nil"/>
              <w:bottom w:val="single" w:sz="12" w:space="0" w:color="auto"/>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3.34±0.52</w:t>
            </w:r>
          </w:p>
        </w:tc>
        <w:tc>
          <w:tcPr>
            <w:tcW w:w="1600" w:type="dxa"/>
            <w:tcBorders>
              <w:top w:val="nil"/>
              <w:left w:val="nil"/>
              <w:bottom w:val="single" w:sz="12" w:space="0" w:color="auto"/>
              <w:right w:val="nil"/>
            </w:tcBorders>
            <w:noWrap/>
            <w:vAlign w:val="bottom"/>
            <w:hideMark/>
          </w:tcPr>
          <w:p w:rsidR="00FA166D" w:rsidRDefault="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4.00±0.00</w:t>
            </w:r>
          </w:p>
        </w:tc>
      </w:tr>
    </w:tbl>
    <w:p w:rsidR="00FA166D" w:rsidRDefault="00FA166D" w:rsidP="00FA166D">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sz w:val="24"/>
          <w:szCs w:val="24"/>
        </w:rPr>
        <w:t>2.4.2加香调味实验</w:t>
      </w:r>
    </w:p>
    <w:p w:rsidR="00FA166D" w:rsidRDefault="00FA166D" w:rsidP="00FA166D">
      <w:pPr>
        <w:spacing w:line="360" w:lineRule="auto"/>
        <w:ind w:firstLineChars="250" w:firstLine="60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按照2.1.2因素表设计口尝实验，组织</w:t>
      </w:r>
      <w:proofErr w:type="gramStart"/>
      <w:r>
        <w:rPr>
          <w:rFonts w:asciiTheme="minorEastAsia" w:eastAsiaTheme="minorEastAsia" w:hAnsiTheme="minorEastAsia" w:hint="eastAsia"/>
          <w:sz w:val="24"/>
          <w:szCs w:val="24"/>
        </w:rPr>
        <w:t>评价员口</w:t>
      </w:r>
      <w:proofErr w:type="gramEnd"/>
      <w:r>
        <w:rPr>
          <w:rFonts w:asciiTheme="minorEastAsia" w:eastAsiaTheme="minorEastAsia" w:hAnsiTheme="minorEastAsia" w:hint="eastAsia"/>
          <w:sz w:val="24"/>
          <w:szCs w:val="24"/>
        </w:rPr>
        <w:t>尝评价， 评分最高且排序最低的配方作为牛奶味中药伴侣的拟选配方。</w:t>
      </w:r>
    </w:p>
    <w:p w:rsidR="00FA166D" w:rsidRDefault="00FA166D" w:rsidP="00FA166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2.4.3</w:t>
      </w:r>
      <w:proofErr w:type="gramStart"/>
      <w:r>
        <w:rPr>
          <w:rFonts w:asciiTheme="minorEastAsia" w:eastAsiaTheme="minorEastAsia" w:hAnsiTheme="minorEastAsia" w:hint="eastAsia"/>
          <w:sz w:val="24"/>
          <w:szCs w:val="24"/>
        </w:rPr>
        <w:t>掩味效果</w:t>
      </w:r>
      <w:proofErr w:type="gramEnd"/>
      <w:r>
        <w:rPr>
          <w:rFonts w:asciiTheme="minorEastAsia" w:eastAsiaTheme="minorEastAsia" w:hAnsiTheme="minorEastAsia" w:hint="eastAsia"/>
          <w:sz w:val="24"/>
          <w:szCs w:val="24"/>
        </w:rPr>
        <w:t>验证</w:t>
      </w:r>
    </w:p>
    <w:p w:rsidR="00FA166D" w:rsidRDefault="00FA166D" w:rsidP="00FA16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验证部分</w:t>
      </w:r>
      <w:proofErr w:type="gramStart"/>
      <w:r>
        <w:rPr>
          <w:rFonts w:asciiTheme="minorEastAsia" w:eastAsiaTheme="minorEastAsia" w:hAnsiTheme="minorEastAsia" w:hint="eastAsia"/>
          <w:sz w:val="24"/>
          <w:szCs w:val="24"/>
        </w:rPr>
        <w:t>分为抑苦的</w:t>
      </w:r>
      <w:proofErr w:type="gramEnd"/>
      <w:r>
        <w:rPr>
          <w:rFonts w:asciiTheme="minorEastAsia" w:eastAsiaTheme="minorEastAsia" w:hAnsiTheme="minorEastAsia" w:hint="eastAsia"/>
          <w:sz w:val="24"/>
          <w:szCs w:val="24"/>
        </w:rPr>
        <w:t>验证和口感的验证两部分。配制A、a、B、b、C、c六个样品。A、B、C分别为银翘散、加味乌药汤、龙胆泻肝汤的原汤剂，a、b、c分别为加入牛奶味中药伴侣之后的汤剂。三种方剂苦度值均</w:t>
      </w:r>
      <w:proofErr w:type="gramStart"/>
      <w:r>
        <w:rPr>
          <w:rFonts w:asciiTheme="minorEastAsia" w:eastAsiaTheme="minorEastAsia" w:hAnsiTheme="minorEastAsia" w:hint="eastAsia"/>
          <w:sz w:val="24"/>
          <w:szCs w:val="24"/>
        </w:rPr>
        <w:t>较加入</w:t>
      </w:r>
      <w:proofErr w:type="gramEnd"/>
      <w:r>
        <w:rPr>
          <w:rFonts w:asciiTheme="minorEastAsia" w:eastAsiaTheme="minorEastAsia" w:hAnsiTheme="minorEastAsia" w:hint="eastAsia"/>
          <w:sz w:val="24"/>
          <w:szCs w:val="24"/>
        </w:rPr>
        <w:t>中药伴侣前有极显著性差异（p&lt;0.01），苦度值降低，分别为2.11、2.1、2.06，说明中药伴侣对三种汤剂的</w:t>
      </w:r>
      <w:proofErr w:type="gramStart"/>
      <w:r>
        <w:rPr>
          <w:rFonts w:asciiTheme="minorEastAsia" w:eastAsiaTheme="minorEastAsia" w:hAnsiTheme="minorEastAsia" w:hint="eastAsia"/>
          <w:sz w:val="24"/>
          <w:szCs w:val="24"/>
        </w:rPr>
        <w:t>抑苦效果</w:t>
      </w:r>
      <w:proofErr w:type="gramEnd"/>
      <w:r>
        <w:rPr>
          <w:rFonts w:asciiTheme="minorEastAsia" w:eastAsiaTheme="minorEastAsia" w:hAnsiTheme="minorEastAsia" w:hint="eastAsia"/>
          <w:sz w:val="24"/>
          <w:szCs w:val="24"/>
        </w:rPr>
        <w:t>均比较明显。</w:t>
      </w:r>
    </w:p>
    <w:p w:rsidR="00FA166D" w:rsidRDefault="00FA166D" w:rsidP="00FA166D">
      <w:pPr>
        <w:pStyle w:val="3"/>
        <w:ind w:firstLine="422"/>
      </w:pPr>
      <w:r>
        <w:rPr>
          <w:rFonts w:hint="eastAsia"/>
        </w:rPr>
        <w:t>3.</w:t>
      </w:r>
      <w:r>
        <w:rPr>
          <w:rFonts w:hint="eastAsia"/>
        </w:rPr>
        <w:t>讨论</w:t>
      </w:r>
    </w:p>
    <w:p w:rsidR="00FA166D" w:rsidRDefault="00FA166D" w:rsidP="00FA166D">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课题组前期先后研发了甜橙味、咖啡味、巧克力味中药伴侣，均已申请专利。牛奶味中药伴侣是在前期的基础上研发的新产品。甜橙味中药伴侣具有酸性，胃溃疡患者不宜使用；巧克力味中药伴侣中含有可可粉等牛奶成分，对奶粉过敏儿童不宜使用；咖啡味中药伴侣中含有咖啡，失眠患者及婴幼儿患者不宜使用；牛奶味中药伴侣克服了前期产品的这些缺点，针对的人群主要是儿童患者。儿童患者用药顺应性差，表达能力弱，对中药</w:t>
      </w:r>
      <w:proofErr w:type="gramStart"/>
      <w:r>
        <w:rPr>
          <w:rFonts w:asciiTheme="minorEastAsia" w:eastAsiaTheme="minorEastAsia" w:hAnsiTheme="minorEastAsia" w:hint="eastAsia"/>
          <w:sz w:val="24"/>
          <w:szCs w:val="24"/>
        </w:rPr>
        <w:t>汤剂掩味的</w:t>
      </w:r>
      <w:proofErr w:type="gramEnd"/>
      <w:r>
        <w:rPr>
          <w:rFonts w:asciiTheme="minorEastAsia" w:eastAsiaTheme="minorEastAsia" w:hAnsiTheme="minorEastAsia" w:hint="eastAsia"/>
          <w:sz w:val="24"/>
          <w:szCs w:val="24"/>
        </w:rPr>
        <w:t>需求量尤其大，因此针对儿童患者研发中药伴侣有较大现实意义</w:t>
      </w:r>
      <w:r>
        <w:rPr>
          <w:rFonts w:asciiTheme="minorEastAsia" w:eastAsiaTheme="minorEastAsia" w:hAnsiTheme="minorEastAsia" w:hint="eastAsia"/>
          <w:vertAlign w:val="superscript"/>
        </w:rPr>
        <w:t>【13】</w:t>
      </w:r>
      <w:r>
        <w:rPr>
          <w:rFonts w:asciiTheme="minorEastAsia" w:eastAsiaTheme="minorEastAsia" w:hAnsiTheme="minorEastAsia" w:hint="eastAsia"/>
          <w:sz w:val="24"/>
          <w:szCs w:val="24"/>
        </w:rPr>
        <w:t>。</w:t>
      </w:r>
    </w:p>
    <w:p w:rsidR="00FA166D" w:rsidRDefault="00FA166D" w:rsidP="00FA166D">
      <w:pPr>
        <w:spacing w:line="360" w:lineRule="auto"/>
        <w:rPr>
          <w:rFonts w:asciiTheme="minorEastAsia" w:eastAsiaTheme="minorEastAsia" w:hAnsiTheme="minorEastAsia"/>
        </w:rPr>
      </w:pPr>
    </w:p>
    <w:p w:rsidR="00FA166D" w:rsidRDefault="00FA166D" w:rsidP="00FA166D">
      <w:pPr>
        <w:pStyle w:val="3"/>
        <w:ind w:firstLine="422"/>
      </w:pPr>
      <w:r>
        <w:rPr>
          <w:rFonts w:hint="eastAsia"/>
        </w:rPr>
        <w:t>参考文献</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[1］李学林，吴子丹，刘瑞新等.口</w:t>
      </w:r>
      <w:proofErr w:type="gramStart"/>
      <w:r w:rsidRPr="00FA166D">
        <w:rPr>
          <w:rFonts w:asciiTheme="minorEastAsia" w:eastAsiaTheme="minorEastAsia" w:hAnsiTheme="minorEastAsia" w:hint="eastAsia"/>
          <w:sz w:val="20"/>
          <w:szCs w:val="20"/>
        </w:rPr>
        <w:t>尝评价</w:t>
      </w:r>
      <w:proofErr w:type="gramEnd"/>
      <w:r w:rsidRPr="00FA166D">
        <w:rPr>
          <w:rFonts w:asciiTheme="minorEastAsia" w:eastAsiaTheme="minorEastAsia" w:hAnsiTheme="minorEastAsia" w:hint="eastAsia"/>
          <w:sz w:val="20"/>
          <w:szCs w:val="20"/>
        </w:rPr>
        <w:t>中药汤剂苦味的研究［J］.中国实验方剂学杂志，2011,17（23）:11-13.</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[2］周嘉琳. 中药配方颗粒的安全性研究[J]. 世界中医药,2011,(06):538-540.</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[3］李学林，仇继玺，刘瑞新，施钧瀚.苦味抑制剂的研究进展［J］.中国实验方剂学杂志.2012,18（21）：335-338.</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[4]李学林,张杏芬,刘瑞新.中药汤剂</w:t>
      </w:r>
      <w:proofErr w:type="gramStart"/>
      <w:r w:rsidRPr="00FA166D">
        <w:rPr>
          <w:rFonts w:asciiTheme="minorEastAsia" w:eastAsiaTheme="minorEastAsia" w:hAnsiTheme="minorEastAsia" w:hint="eastAsia"/>
          <w:sz w:val="20"/>
          <w:szCs w:val="20"/>
        </w:rPr>
        <w:t>掩味技术</w:t>
      </w:r>
      <w:proofErr w:type="gramEnd"/>
      <w:r w:rsidRPr="00FA166D">
        <w:rPr>
          <w:rFonts w:asciiTheme="minorEastAsia" w:eastAsiaTheme="minorEastAsia" w:hAnsiTheme="minorEastAsia" w:hint="eastAsia"/>
          <w:sz w:val="20"/>
          <w:szCs w:val="20"/>
        </w:rPr>
        <w:t>探讨[J].中医研究,2012,25(12):67-70.</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lastRenderedPageBreak/>
        <w:t xml:space="preserve">[5]马红梅.正交设计和均匀设计在复合蔬菜汁发酵饮料配方优化中的应用[J].安徽农业科学,2010,(22):12005-12006. </w:t>
      </w:r>
      <w:proofErr w:type="gramStart"/>
      <w:r w:rsidRPr="00FA166D">
        <w:rPr>
          <w:rFonts w:asciiTheme="minorEastAsia" w:eastAsiaTheme="minorEastAsia" w:hAnsiTheme="minorEastAsia" w:hint="eastAsia"/>
          <w:sz w:val="20"/>
          <w:szCs w:val="20"/>
        </w:rPr>
        <w:t>DOI:10.3969/j.issn</w:t>
      </w:r>
      <w:proofErr w:type="gramEnd"/>
      <w:r w:rsidRPr="00FA166D">
        <w:rPr>
          <w:rFonts w:asciiTheme="minorEastAsia" w:eastAsiaTheme="minorEastAsia" w:hAnsiTheme="minorEastAsia" w:hint="eastAsia"/>
          <w:sz w:val="20"/>
          <w:szCs w:val="20"/>
        </w:rPr>
        <w:t>.0517-6611.2010.22.131.</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[6］康冰亚，刘瑞新等.基于ISEM及FSEM综合评价中药伴侣</w:t>
      </w:r>
      <w:proofErr w:type="gramStart"/>
      <w:r w:rsidRPr="00FA166D">
        <w:rPr>
          <w:rFonts w:asciiTheme="minorEastAsia" w:eastAsiaTheme="minorEastAsia" w:hAnsiTheme="minorEastAsia" w:hint="eastAsia"/>
          <w:sz w:val="20"/>
          <w:szCs w:val="20"/>
        </w:rPr>
        <w:t>的掩味效果</w:t>
      </w:r>
      <w:proofErr w:type="gramEnd"/>
      <w:r w:rsidRPr="00FA166D">
        <w:rPr>
          <w:rFonts w:asciiTheme="minorEastAsia" w:eastAsiaTheme="minorEastAsia" w:hAnsiTheme="minorEastAsia" w:hint="eastAsia"/>
          <w:sz w:val="20"/>
          <w:szCs w:val="20"/>
        </w:rPr>
        <w:t>［J］.中国新药杂志,2016,25（12）:1385-1390.</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[7]  Li，L，V．</w:t>
      </w:r>
      <w:proofErr w:type="spellStart"/>
      <w:r w:rsidRPr="00FA166D">
        <w:rPr>
          <w:rFonts w:asciiTheme="minorEastAsia" w:eastAsiaTheme="minorEastAsia" w:hAnsiTheme="minorEastAsia" w:hint="eastAsia"/>
          <w:sz w:val="20"/>
          <w:szCs w:val="20"/>
        </w:rPr>
        <w:t>Naini</w:t>
      </w:r>
      <w:proofErr w:type="spellEnd"/>
      <w:r w:rsidRPr="00FA166D">
        <w:rPr>
          <w:rFonts w:asciiTheme="minorEastAsia" w:eastAsiaTheme="minorEastAsia" w:hAnsiTheme="minorEastAsia" w:hint="eastAsia"/>
          <w:sz w:val="20"/>
          <w:szCs w:val="20"/>
        </w:rPr>
        <w:t xml:space="preserve">，S．U．Ahmed．Utilization of a modified  </w:t>
      </w:r>
      <w:proofErr w:type="spellStart"/>
      <w:r w:rsidRPr="00FA166D">
        <w:rPr>
          <w:rFonts w:asciiTheme="minorEastAsia" w:eastAsiaTheme="minorEastAsia" w:hAnsiTheme="minorEastAsia" w:hint="eastAsia"/>
          <w:sz w:val="20"/>
          <w:szCs w:val="20"/>
        </w:rPr>
        <w:t>sPecial</w:t>
      </w:r>
      <w:proofErr w:type="spellEnd"/>
      <w:r w:rsidRPr="00FA166D">
        <w:rPr>
          <w:rFonts w:asciiTheme="minorEastAsia" w:eastAsiaTheme="minorEastAsia" w:hAnsiTheme="minorEastAsia" w:hint="eastAsia"/>
          <w:sz w:val="20"/>
          <w:szCs w:val="20"/>
        </w:rPr>
        <w:t xml:space="preserve">-cubic  design and an electronic tongue for bitterness masking formulation  </w:t>
      </w:r>
      <w:proofErr w:type="spellStart"/>
      <w:r w:rsidRPr="00FA166D">
        <w:rPr>
          <w:rFonts w:asciiTheme="minorEastAsia" w:eastAsiaTheme="minorEastAsia" w:hAnsiTheme="minorEastAsia" w:hint="eastAsia"/>
          <w:sz w:val="20"/>
          <w:szCs w:val="20"/>
        </w:rPr>
        <w:t>oPtimization</w:t>
      </w:r>
      <w:proofErr w:type="spellEnd"/>
      <w:r w:rsidRPr="00FA166D">
        <w:rPr>
          <w:rFonts w:asciiTheme="minorEastAsia" w:eastAsiaTheme="minorEastAsia" w:hAnsiTheme="minorEastAsia" w:hint="eastAsia"/>
          <w:sz w:val="20"/>
          <w:szCs w:val="20"/>
        </w:rPr>
        <w:t xml:space="preserve">[J]．J Pharm </w:t>
      </w:r>
      <w:proofErr w:type="spellStart"/>
      <w:r w:rsidRPr="00FA166D">
        <w:rPr>
          <w:rFonts w:asciiTheme="minorEastAsia" w:eastAsiaTheme="minorEastAsia" w:hAnsiTheme="minorEastAsia" w:hint="eastAsia"/>
          <w:sz w:val="20"/>
          <w:szCs w:val="20"/>
        </w:rPr>
        <w:t>Sci</w:t>
      </w:r>
      <w:proofErr w:type="spellEnd"/>
      <w:r w:rsidRPr="00FA166D">
        <w:rPr>
          <w:rFonts w:asciiTheme="minorEastAsia" w:eastAsiaTheme="minorEastAsia" w:hAnsiTheme="minorEastAsia" w:hint="eastAsia"/>
          <w:sz w:val="20"/>
          <w:szCs w:val="20"/>
        </w:rPr>
        <w:t>．2007．96（10）：2723~2734．</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[8]刘瑞新,张杏芬,李学林,施钧瀚,李慧玲,仇继玺.3种口</w:t>
      </w:r>
      <w:proofErr w:type="gramStart"/>
      <w:r w:rsidRPr="00FA166D">
        <w:rPr>
          <w:rFonts w:asciiTheme="minorEastAsia" w:eastAsiaTheme="minorEastAsia" w:hAnsiTheme="minorEastAsia" w:hint="eastAsia"/>
          <w:sz w:val="20"/>
          <w:szCs w:val="20"/>
        </w:rPr>
        <w:t>尝评价</w:t>
      </w:r>
      <w:proofErr w:type="gramEnd"/>
      <w:r w:rsidRPr="00FA166D">
        <w:rPr>
          <w:rFonts w:asciiTheme="minorEastAsia" w:eastAsiaTheme="minorEastAsia" w:hAnsiTheme="minorEastAsia" w:hint="eastAsia"/>
          <w:sz w:val="20"/>
          <w:szCs w:val="20"/>
        </w:rPr>
        <w:t>方法用于药物苦度评价的比较[J].中国实验方剂学杂志,2013,19(20):118-122.</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[9]张璐,高晓洁,桂新景,施钧瀚,康冰亚,李学林,刘瑞新.基于经典人群口感评价方法的苦度评价中</w:t>
      </w:r>
      <w:proofErr w:type="gramStart"/>
      <w:r w:rsidRPr="00FA166D">
        <w:rPr>
          <w:rFonts w:asciiTheme="minorEastAsia" w:eastAsiaTheme="minorEastAsia" w:hAnsiTheme="minorEastAsia" w:hint="eastAsia"/>
          <w:sz w:val="20"/>
          <w:szCs w:val="20"/>
        </w:rPr>
        <w:t>评价员</w:t>
      </w:r>
      <w:proofErr w:type="gramEnd"/>
      <w:r w:rsidRPr="00FA166D">
        <w:rPr>
          <w:rFonts w:asciiTheme="minorEastAsia" w:eastAsiaTheme="minorEastAsia" w:hAnsiTheme="minorEastAsia" w:hint="eastAsia"/>
          <w:sz w:val="20"/>
          <w:szCs w:val="20"/>
        </w:rPr>
        <w:t>分级探索[J].中国实验方剂学杂志,2017,23(02):12-18.</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[10]赵镭,刘文.感官分析技术应用指南[M].北京:中国轻工业出版社.2011.</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[11]李学林,王盼盼,刘瑞新,仇继玺,张璐,桂新景,陈小菲,康冰亚,施钧瀚.3种</w:t>
      </w:r>
      <w:proofErr w:type="gramStart"/>
      <w:r w:rsidRPr="00FA166D">
        <w:rPr>
          <w:rFonts w:asciiTheme="minorEastAsia" w:eastAsiaTheme="minorEastAsia" w:hAnsiTheme="minorEastAsia" w:hint="eastAsia"/>
          <w:sz w:val="20"/>
          <w:szCs w:val="20"/>
        </w:rPr>
        <w:t>掩味剂</w:t>
      </w:r>
      <w:proofErr w:type="gramEnd"/>
      <w:r w:rsidRPr="00FA166D">
        <w:rPr>
          <w:rFonts w:asciiTheme="minorEastAsia" w:eastAsiaTheme="minorEastAsia" w:hAnsiTheme="minorEastAsia" w:hint="eastAsia"/>
          <w:sz w:val="20"/>
          <w:szCs w:val="20"/>
        </w:rPr>
        <w:t>单独或联合应用对黄柏</w:t>
      </w:r>
      <w:proofErr w:type="gramStart"/>
      <w:r w:rsidRPr="00FA166D">
        <w:rPr>
          <w:rFonts w:asciiTheme="minorEastAsia" w:eastAsiaTheme="minorEastAsia" w:hAnsiTheme="minorEastAsia" w:hint="eastAsia"/>
          <w:sz w:val="20"/>
          <w:szCs w:val="20"/>
        </w:rPr>
        <w:t>的掩味作用</w:t>
      </w:r>
      <w:proofErr w:type="gramEnd"/>
      <w:r w:rsidRPr="00FA166D">
        <w:rPr>
          <w:rFonts w:asciiTheme="minorEastAsia" w:eastAsiaTheme="minorEastAsia" w:hAnsiTheme="minorEastAsia" w:hint="eastAsia"/>
          <w:sz w:val="20"/>
          <w:szCs w:val="20"/>
        </w:rPr>
        <w:t>探究</w:t>
      </w:r>
      <w:proofErr w:type="gramStart"/>
      <w:r w:rsidRPr="00FA166D">
        <w:rPr>
          <w:rFonts w:asciiTheme="minorEastAsia" w:eastAsiaTheme="minorEastAsia" w:hAnsiTheme="minorEastAsia" w:hint="eastAsia"/>
          <w:sz w:val="20"/>
          <w:szCs w:val="20"/>
        </w:rPr>
        <w:t>及掩味</w:t>
      </w:r>
      <w:proofErr w:type="gramEnd"/>
      <w:r w:rsidRPr="00FA166D">
        <w:rPr>
          <w:rFonts w:asciiTheme="minorEastAsia" w:eastAsiaTheme="minorEastAsia" w:hAnsiTheme="minorEastAsia" w:hint="eastAsia"/>
          <w:sz w:val="20"/>
          <w:szCs w:val="20"/>
        </w:rPr>
        <w:t>前后化学成分的比较[J].中国实验方剂学杂志,2017,23(02):7-11.</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[12]王优杰，徐德生，冯怡．中药及其制剂苦味评价方法的建立[J]．中国中药杂志．2007．32（15）：1511~1514．</w:t>
      </w:r>
    </w:p>
    <w:p w:rsidR="00FA166D" w:rsidRPr="00FA166D" w:rsidRDefault="00FA166D" w:rsidP="00FA166D">
      <w:pPr>
        <w:spacing w:line="360" w:lineRule="auto"/>
        <w:rPr>
          <w:rFonts w:asciiTheme="minorEastAsia" w:eastAsiaTheme="minorEastAsia" w:hAnsiTheme="minorEastAsia"/>
          <w:sz w:val="20"/>
          <w:szCs w:val="20"/>
        </w:rPr>
      </w:pPr>
      <w:r w:rsidRPr="00FA166D">
        <w:rPr>
          <w:rFonts w:asciiTheme="minorEastAsia" w:eastAsiaTheme="minorEastAsia" w:hAnsiTheme="minorEastAsia" w:hint="eastAsia"/>
          <w:sz w:val="20"/>
          <w:szCs w:val="20"/>
        </w:rPr>
        <w:t>[13]刘瑞新,李学林,吴子丹,康冰亚.论中药煎剂</w:t>
      </w:r>
      <w:proofErr w:type="gramStart"/>
      <w:r w:rsidRPr="00FA166D">
        <w:rPr>
          <w:rFonts w:asciiTheme="minorEastAsia" w:eastAsiaTheme="minorEastAsia" w:hAnsiTheme="minorEastAsia" w:hint="eastAsia"/>
          <w:sz w:val="20"/>
          <w:szCs w:val="20"/>
        </w:rPr>
        <w:t>掩味研究</w:t>
      </w:r>
      <w:proofErr w:type="gramEnd"/>
      <w:r w:rsidRPr="00FA166D">
        <w:rPr>
          <w:rFonts w:asciiTheme="minorEastAsia" w:eastAsiaTheme="minorEastAsia" w:hAnsiTheme="minorEastAsia" w:hint="eastAsia"/>
          <w:sz w:val="20"/>
          <w:szCs w:val="20"/>
        </w:rPr>
        <w:t>的必要性、现状与对策[J].中国药房,2012,23(27):2497-2500.</w:t>
      </w:r>
    </w:p>
    <w:p w:rsidR="00FA166D" w:rsidRDefault="00FA166D" w:rsidP="00FA166D">
      <w:pPr>
        <w:pStyle w:val="2"/>
      </w:pPr>
      <w:bookmarkStart w:id="18" w:name="_Toc6476548"/>
      <w:r w:rsidRPr="00BF0B69">
        <w:t>中药提取工艺对药品质量的影响分析</w:t>
      </w:r>
      <w:bookmarkEnd w:id="18"/>
    </w:p>
    <w:p w:rsidR="00FA166D" w:rsidRPr="00FA166D" w:rsidRDefault="00FA166D" w:rsidP="00FA166D">
      <w:pPr>
        <w:jc w:val="center"/>
      </w:pPr>
      <w:r>
        <w:rPr>
          <w:rFonts w:hint="eastAsia"/>
        </w:rPr>
        <w:t>郭留书</w:t>
      </w:r>
    </w:p>
    <w:p w:rsidR="00FA166D" w:rsidRPr="00FA166D" w:rsidRDefault="00FA166D" w:rsidP="00FA166D">
      <w:pPr>
        <w:spacing w:line="360" w:lineRule="auto"/>
      </w:pPr>
      <w:r w:rsidRPr="00FA166D">
        <w:rPr>
          <w:rFonts w:hAnsi="宋体" w:hint="eastAsia"/>
          <w:b/>
          <w:bCs/>
        </w:rPr>
        <w:t>【</w:t>
      </w:r>
      <w:r w:rsidRPr="00FA166D">
        <w:rPr>
          <w:rFonts w:hAnsi="宋体"/>
          <w:b/>
          <w:bCs/>
        </w:rPr>
        <w:t>摘要</w:t>
      </w:r>
      <w:r w:rsidRPr="00FA166D">
        <w:rPr>
          <w:rFonts w:hAnsi="宋体" w:hint="eastAsia"/>
          <w:b/>
          <w:bCs/>
        </w:rPr>
        <w:t>】</w:t>
      </w:r>
      <w:r w:rsidRPr="00FA166D">
        <w:rPr>
          <w:rFonts w:hAnsi="宋体" w:hint="eastAsia"/>
          <w:b/>
          <w:bCs/>
        </w:rPr>
        <w:t xml:space="preserve">  </w:t>
      </w:r>
      <w:r w:rsidRPr="00FA166D">
        <w:t>中医</w:t>
      </w:r>
      <w:r w:rsidRPr="00FA166D">
        <w:rPr>
          <w:rFonts w:hint="eastAsia"/>
        </w:rPr>
        <w:t>具有</w:t>
      </w:r>
      <w:r w:rsidRPr="00FA166D">
        <w:t>悠久的发展历史，</w:t>
      </w:r>
      <w:r w:rsidRPr="00FA166D">
        <w:rPr>
          <w:rFonts w:hint="eastAsia"/>
        </w:rPr>
        <w:t>独特的</w:t>
      </w:r>
      <w:r w:rsidRPr="00FA166D">
        <w:t>制药</w:t>
      </w:r>
      <w:r w:rsidRPr="00FA166D">
        <w:rPr>
          <w:rFonts w:hint="eastAsia"/>
        </w:rPr>
        <w:t>工艺使其</w:t>
      </w:r>
      <w:r w:rsidRPr="00FA166D">
        <w:t>对各类疾病具有</w:t>
      </w:r>
      <w:r w:rsidRPr="00FA166D">
        <w:rPr>
          <w:rFonts w:hint="eastAsia"/>
        </w:rPr>
        <w:t>较好</w:t>
      </w:r>
      <w:r w:rsidRPr="00FA166D">
        <w:t>的治疗效果。</w:t>
      </w:r>
      <w:r w:rsidRPr="00FA166D">
        <w:t xml:space="preserve"> </w:t>
      </w:r>
      <w:r w:rsidRPr="00FA166D">
        <w:rPr>
          <w:rFonts w:hint="eastAsia"/>
        </w:rPr>
        <w:lastRenderedPageBreak/>
        <w:t>国内</w:t>
      </w:r>
      <w:r w:rsidRPr="00FA166D">
        <w:t>中医学发展</w:t>
      </w:r>
      <w:r w:rsidRPr="00FA166D">
        <w:rPr>
          <w:rFonts w:hint="eastAsia"/>
        </w:rPr>
        <w:t>快速</w:t>
      </w:r>
      <w:r w:rsidRPr="00FA166D">
        <w:t>，在国际上</w:t>
      </w:r>
      <w:r w:rsidRPr="00FA166D">
        <w:rPr>
          <w:rFonts w:hint="eastAsia"/>
        </w:rPr>
        <w:t>具有很高的</w:t>
      </w:r>
      <w:r w:rsidRPr="00FA166D">
        <w:t>声誉，</w:t>
      </w:r>
      <w:r w:rsidRPr="00FA166D">
        <w:rPr>
          <w:rFonts w:hint="eastAsia"/>
        </w:rPr>
        <w:t>因此，</w:t>
      </w:r>
      <w:r w:rsidRPr="00FA166D">
        <w:t>如何</w:t>
      </w:r>
      <w:r w:rsidRPr="00FA166D">
        <w:rPr>
          <w:rFonts w:hint="eastAsia"/>
        </w:rPr>
        <w:t>提高中药</w:t>
      </w:r>
      <w:r w:rsidRPr="00FA166D">
        <w:t>药品质量和</w:t>
      </w:r>
      <w:r w:rsidRPr="00FA166D">
        <w:rPr>
          <w:rFonts w:hint="eastAsia"/>
        </w:rPr>
        <w:t>治疗效果</w:t>
      </w:r>
      <w:r w:rsidRPr="00FA166D">
        <w:t>成为</w:t>
      </w:r>
      <w:r w:rsidRPr="00FA166D">
        <w:rPr>
          <w:rFonts w:hint="eastAsia"/>
        </w:rPr>
        <w:t>促进中医继续快速发展的重要</w:t>
      </w:r>
      <w:r w:rsidRPr="00FA166D">
        <w:t>问题。中药</w:t>
      </w:r>
      <w:r w:rsidRPr="00FA166D">
        <w:rPr>
          <w:rFonts w:hint="eastAsia"/>
        </w:rPr>
        <w:t>制剂的</w:t>
      </w:r>
      <w:r w:rsidRPr="00FA166D">
        <w:t>提取</w:t>
      </w:r>
      <w:r w:rsidRPr="00FA166D">
        <w:rPr>
          <w:rFonts w:hint="eastAsia"/>
        </w:rPr>
        <w:t>过程直接影响</w:t>
      </w:r>
      <w:r w:rsidRPr="00FA166D">
        <w:t>药品质量，</w:t>
      </w:r>
      <w:r w:rsidRPr="00FA166D">
        <w:rPr>
          <w:rFonts w:hint="eastAsia"/>
        </w:rPr>
        <w:t>也与</w:t>
      </w:r>
      <w:r w:rsidRPr="00FA166D">
        <w:t>药</w:t>
      </w:r>
      <w:r w:rsidRPr="00FA166D">
        <w:rPr>
          <w:rFonts w:hint="eastAsia"/>
        </w:rPr>
        <w:t>材治疗效果密切相关，本文从</w:t>
      </w:r>
      <w:r w:rsidRPr="00FA166D">
        <w:t>中药提取角度</w:t>
      </w:r>
      <w:r w:rsidRPr="00FA166D">
        <w:rPr>
          <w:rFonts w:hint="eastAsia"/>
        </w:rPr>
        <w:t>探讨中药</w:t>
      </w:r>
      <w:r w:rsidRPr="00FA166D">
        <w:t>提取</w:t>
      </w:r>
      <w:r w:rsidRPr="00FA166D">
        <w:rPr>
          <w:rFonts w:hint="eastAsia"/>
        </w:rPr>
        <w:t>工艺以及对</w:t>
      </w:r>
      <w:r w:rsidRPr="00FA166D">
        <w:t>药品质量的影响，</w:t>
      </w:r>
      <w:r w:rsidRPr="00FA166D">
        <w:rPr>
          <w:rFonts w:hint="eastAsia"/>
        </w:rPr>
        <w:t>对</w:t>
      </w:r>
      <w:r w:rsidRPr="00FA166D">
        <w:t>中药提取工艺</w:t>
      </w:r>
      <w:r w:rsidRPr="00FA166D">
        <w:rPr>
          <w:rFonts w:hint="eastAsia"/>
        </w:rPr>
        <w:t>做进一步</w:t>
      </w:r>
      <w:r w:rsidRPr="00FA166D">
        <w:t>指导</w:t>
      </w:r>
      <w:r w:rsidRPr="00FA166D">
        <w:rPr>
          <w:rFonts w:hint="eastAsia"/>
        </w:rPr>
        <w:t>。</w:t>
      </w:r>
    </w:p>
    <w:p w:rsidR="00FA166D" w:rsidRPr="00FA166D" w:rsidRDefault="00FA166D" w:rsidP="00FA166D">
      <w:pPr>
        <w:spacing w:line="360" w:lineRule="auto"/>
      </w:pPr>
      <w:r w:rsidRPr="00FA166D">
        <w:rPr>
          <w:rStyle w:val="af3"/>
          <w:rFonts w:hAnsi="宋体"/>
        </w:rPr>
        <w:t>【关键词】</w:t>
      </w:r>
      <w:r w:rsidRPr="00FA166D">
        <w:t xml:space="preserve">  </w:t>
      </w:r>
      <w:r w:rsidRPr="00FA166D">
        <w:t>中药提取工艺</w:t>
      </w:r>
      <w:r w:rsidRPr="00FA166D">
        <w:rPr>
          <w:rFonts w:hint="eastAsia"/>
        </w:rPr>
        <w:t>；</w:t>
      </w:r>
      <w:r w:rsidRPr="00FA166D">
        <w:t>药品质量</w:t>
      </w:r>
      <w:r w:rsidRPr="00FA166D">
        <w:rPr>
          <w:rFonts w:hint="eastAsia"/>
        </w:rPr>
        <w:t>；</w:t>
      </w:r>
      <w:r w:rsidRPr="00FA166D">
        <w:t>影响分析</w:t>
      </w:r>
    </w:p>
    <w:p w:rsidR="00FA166D" w:rsidRPr="003B11BE" w:rsidRDefault="00FA166D" w:rsidP="00FA166D">
      <w:pPr>
        <w:autoSpaceDE w:val="0"/>
        <w:autoSpaceDN w:val="0"/>
        <w:adjustRightInd w:val="0"/>
        <w:spacing w:line="360" w:lineRule="auto"/>
        <w:ind w:firstLineChars="200" w:firstLine="420"/>
        <w:rPr>
          <w:rFonts w:cs="Times New Roman"/>
          <w:szCs w:val="20"/>
        </w:rPr>
      </w:pPr>
      <w:r>
        <w:t>中医在我国发展历史悠久，</w:t>
      </w:r>
      <w:r>
        <w:t xml:space="preserve"> </w:t>
      </w:r>
      <w:r>
        <w:t>而中药作为中医治疗</w:t>
      </w:r>
      <w:r>
        <w:t xml:space="preserve"> </w:t>
      </w:r>
      <w:r>
        <w:t>疾病的重要手段，其质量直接决定了疾病治疗的效果。随着科技水平的不断提升，中药提取技术同样得到了一定的发展</w:t>
      </w:r>
      <w:r w:rsidRPr="003368B1">
        <w:rPr>
          <w:rFonts w:cs="Times New Roman"/>
          <w:szCs w:val="20"/>
          <w:vertAlign w:val="superscript"/>
        </w:rPr>
        <w:t>[1]</w:t>
      </w:r>
      <w:r>
        <w:t>，中药提取的纯度和质量也大幅提升。中药</w:t>
      </w:r>
      <w:r>
        <w:t xml:space="preserve"> </w:t>
      </w:r>
      <w:r>
        <w:t>中有效成分的提取效果直接决定了中药对疾病的治疗</w:t>
      </w:r>
      <w:r>
        <w:t xml:space="preserve"> </w:t>
      </w:r>
      <w:r>
        <w:t>效果，若要广泛推广中药，我们必须逐步提高中药提取的工艺水准</w:t>
      </w:r>
      <w:r w:rsidRPr="003B11BE">
        <w:rPr>
          <w:rFonts w:cs="Times New Roman" w:hint="eastAsia"/>
          <w:szCs w:val="20"/>
        </w:rPr>
        <w:t>。</w:t>
      </w:r>
    </w:p>
    <w:p w:rsidR="00FA166D" w:rsidRDefault="00FA166D" w:rsidP="00FA166D">
      <w:pPr>
        <w:pStyle w:val="3"/>
        <w:ind w:firstLine="422"/>
      </w:pPr>
      <w:r>
        <w:t xml:space="preserve">1 </w:t>
      </w:r>
      <w:r>
        <w:rPr>
          <w:rFonts w:hint="eastAsia"/>
        </w:rPr>
        <w:t xml:space="preserve"> </w:t>
      </w:r>
      <w:r w:rsidRPr="005D7E02">
        <w:t>中药提取工艺</w:t>
      </w:r>
      <w:r>
        <w:tab/>
      </w:r>
    </w:p>
    <w:p w:rsidR="00FA166D" w:rsidRDefault="00FA166D" w:rsidP="00FA166D">
      <w:pPr>
        <w:autoSpaceDE w:val="0"/>
        <w:autoSpaceDN w:val="0"/>
        <w:adjustRightInd w:val="0"/>
        <w:spacing w:line="360" w:lineRule="auto"/>
        <w:rPr>
          <w:szCs w:val="20"/>
        </w:rPr>
      </w:pPr>
      <w:r>
        <w:rPr>
          <w:rFonts w:cs="Times New Roman" w:hint="eastAsia"/>
          <w:b/>
          <w:bCs/>
        </w:rPr>
        <w:t>1.1</w:t>
      </w:r>
      <w:r>
        <w:rPr>
          <w:rFonts w:cs="Times New Roman"/>
          <w:b/>
          <w:bCs/>
        </w:rPr>
        <w:t xml:space="preserve">  </w:t>
      </w:r>
      <w:r w:rsidRPr="005D7E02">
        <w:rPr>
          <w:rFonts w:cs="Times New Roman"/>
          <w:b/>
          <w:bCs/>
        </w:rPr>
        <w:t>传统中药提取方法</w:t>
      </w:r>
      <w:r>
        <w:rPr>
          <w:rFonts w:cs="Times New Roman"/>
          <w:b/>
          <w:bCs/>
        </w:rPr>
        <w:t xml:space="preserve"> </w:t>
      </w:r>
      <w:r>
        <w:rPr>
          <w:rFonts w:hint="eastAsia"/>
        </w:rPr>
        <w:t xml:space="preserve"> </w:t>
      </w:r>
      <w:r>
        <w:rPr>
          <w:rFonts w:hint="eastAsia"/>
        </w:rPr>
        <w:t>国内</w:t>
      </w:r>
      <w:r>
        <w:t>传统中药提取原理</w:t>
      </w:r>
      <w:r>
        <w:rPr>
          <w:rFonts w:hint="eastAsia"/>
        </w:rPr>
        <w:t>主要分为</w:t>
      </w:r>
      <w:r>
        <w:t>溶剂法、水蒸气蒸馏法</w:t>
      </w:r>
      <w:r>
        <w:rPr>
          <w:rFonts w:hint="eastAsia"/>
        </w:rPr>
        <w:t>、</w:t>
      </w:r>
      <w:r>
        <w:t>升华法三种</w:t>
      </w:r>
      <w:r w:rsidRPr="003368B1">
        <w:rPr>
          <w:rFonts w:cs="Times New Roman"/>
          <w:szCs w:val="20"/>
          <w:vertAlign w:val="superscript"/>
        </w:rPr>
        <w:t>[</w:t>
      </w:r>
      <w:r>
        <w:rPr>
          <w:rFonts w:cs="Times New Roman"/>
          <w:szCs w:val="20"/>
          <w:vertAlign w:val="superscript"/>
        </w:rPr>
        <w:t>2</w:t>
      </w:r>
      <w:r w:rsidRPr="003368B1">
        <w:rPr>
          <w:rFonts w:cs="Times New Roman"/>
          <w:szCs w:val="20"/>
          <w:vertAlign w:val="superscript"/>
        </w:rPr>
        <w:t>]</w:t>
      </w:r>
      <w:r>
        <w:t>。</w:t>
      </w:r>
      <w:r>
        <w:rPr>
          <w:rFonts w:hint="eastAsia"/>
        </w:rPr>
        <w:t>其中应用最为广泛的便是</w:t>
      </w:r>
      <w:r>
        <w:t>溶剂法，</w:t>
      </w:r>
      <w:r>
        <w:rPr>
          <w:rFonts w:hint="eastAsia"/>
        </w:rPr>
        <w:t>另外两种提取</w:t>
      </w:r>
      <w:r>
        <w:t>工艺</w:t>
      </w:r>
      <w:r>
        <w:rPr>
          <w:rFonts w:hint="eastAsia"/>
        </w:rPr>
        <w:t>对操作</w:t>
      </w:r>
      <w:r>
        <w:t>要求较高，</w:t>
      </w:r>
      <w:r>
        <w:rPr>
          <w:rFonts w:hint="eastAsia"/>
        </w:rPr>
        <w:t>因此</w:t>
      </w:r>
      <w:r>
        <w:t>实际应用不广泛。传统中药药剂</w:t>
      </w:r>
      <w:r>
        <w:rPr>
          <w:rFonts w:hint="eastAsia"/>
        </w:rPr>
        <w:t>的</w:t>
      </w:r>
      <w:r>
        <w:t>提取</w:t>
      </w:r>
      <w:r>
        <w:rPr>
          <w:rFonts w:hint="eastAsia"/>
        </w:rPr>
        <w:t>一般采用</w:t>
      </w:r>
      <w:r>
        <w:t>静态提取，</w:t>
      </w:r>
      <w:r>
        <w:rPr>
          <w:rFonts w:hint="eastAsia"/>
        </w:rPr>
        <w:t>具体为：将</w:t>
      </w:r>
      <w:r>
        <w:t>药剂浸渍</w:t>
      </w:r>
      <w:r>
        <w:rPr>
          <w:rFonts w:hint="eastAsia"/>
        </w:rPr>
        <w:t>一段时间，然后将药材放置在</w:t>
      </w:r>
      <w:r>
        <w:t>药罐中，</w:t>
      </w:r>
      <w:r>
        <w:rPr>
          <w:rFonts w:hint="eastAsia"/>
        </w:rPr>
        <w:t>添加</w:t>
      </w:r>
      <w:r>
        <w:t>适量水，</w:t>
      </w:r>
      <w:r>
        <w:rPr>
          <w:rFonts w:hint="eastAsia"/>
        </w:rPr>
        <w:t>再用温</w:t>
      </w:r>
      <w:r>
        <w:t>火</w:t>
      </w:r>
      <w:r>
        <w:rPr>
          <w:rFonts w:hint="eastAsia"/>
        </w:rPr>
        <w:t>煎煮</w:t>
      </w:r>
      <w:r>
        <w:t>，</w:t>
      </w:r>
      <w:r>
        <w:rPr>
          <w:rFonts w:hint="eastAsia"/>
        </w:rPr>
        <w:t>最后</w:t>
      </w:r>
      <w:r>
        <w:t>过滤药渣制成</w:t>
      </w:r>
      <w:r>
        <w:rPr>
          <w:rFonts w:hint="eastAsia"/>
        </w:rPr>
        <w:t>药品。</w:t>
      </w:r>
      <w:r>
        <w:t>静态提取法</w:t>
      </w:r>
      <w:r>
        <w:rPr>
          <w:rFonts w:hint="eastAsia"/>
        </w:rPr>
        <w:t>操作</w:t>
      </w:r>
      <w:r>
        <w:t>简单实用，</w:t>
      </w:r>
      <w:r>
        <w:rPr>
          <w:rFonts w:hint="eastAsia"/>
        </w:rPr>
        <w:t>但无法充分提取药材</w:t>
      </w:r>
      <w:r>
        <w:t>有效成分</w:t>
      </w:r>
      <w:r>
        <w:rPr>
          <w:rFonts w:hint="eastAsia"/>
        </w:rPr>
        <w:t>，因此需要</w:t>
      </w:r>
      <w:r>
        <w:t>探讨</w:t>
      </w:r>
      <w:r>
        <w:rPr>
          <w:rFonts w:hint="eastAsia"/>
        </w:rPr>
        <w:t>其他</w:t>
      </w:r>
      <w:r>
        <w:t>提取方式，</w:t>
      </w:r>
      <w:r>
        <w:rPr>
          <w:rFonts w:hint="eastAsia"/>
        </w:rPr>
        <w:t>目前，新型药材提取方法主要有</w:t>
      </w:r>
      <w:r>
        <w:t>静态提取方法和动态提取方法，</w:t>
      </w:r>
      <w:r>
        <w:t xml:space="preserve"> </w:t>
      </w:r>
      <w:r>
        <w:rPr>
          <w:rFonts w:hint="eastAsia"/>
        </w:rPr>
        <w:t>而</w:t>
      </w:r>
      <w:r>
        <w:t>动态提取</w:t>
      </w:r>
      <w:r>
        <w:rPr>
          <w:rFonts w:hint="eastAsia"/>
        </w:rPr>
        <w:t>法又细分为</w:t>
      </w:r>
      <w:r>
        <w:t>煎煮法、渗</w:t>
      </w:r>
      <w:proofErr w:type="gramStart"/>
      <w:r>
        <w:t>漉</w:t>
      </w:r>
      <w:proofErr w:type="gramEnd"/>
      <w:r>
        <w:t>法、回流法等</w:t>
      </w:r>
      <w:r w:rsidRPr="003368B1">
        <w:rPr>
          <w:rFonts w:cs="Times New Roman"/>
          <w:szCs w:val="20"/>
          <w:vertAlign w:val="superscript"/>
        </w:rPr>
        <w:t>[</w:t>
      </w:r>
      <w:r>
        <w:rPr>
          <w:rFonts w:cs="Times New Roman"/>
          <w:szCs w:val="20"/>
          <w:vertAlign w:val="superscript"/>
        </w:rPr>
        <w:t>3</w:t>
      </w:r>
      <w:r w:rsidRPr="003368B1">
        <w:rPr>
          <w:rFonts w:cs="Times New Roman"/>
          <w:szCs w:val="20"/>
          <w:vertAlign w:val="superscript"/>
        </w:rPr>
        <w:t>]</w:t>
      </w:r>
      <w:r>
        <w:t>。</w:t>
      </w:r>
    </w:p>
    <w:p w:rsidR="00FA166D" w:rsidRPr="00B50516" w:rsidRDefault="00FA166D" w:rsidP="00FA166D">
      <w:pPr>
        <w:spacing w:line="360" w:lineRule="auto"/>
        <w:rPr>
          <w:szCs w:val="20"/>
        </w:rPr>
      </w:pPr>
      <w:r w:rsidRPr="00935FBF">
        <w:rPr>
          <w:rFonts w:cs="Times New Roman"/>
          <w:b/>
          <w:bCs/>
        </w:rPr>
        <w:t>1.2</w:t>
      </w:r>
      <w:r>
        <w:rPr>
          <w:b/>
          <w:bCs/>
        </w:rPr>
        <w:t xml:space="preserve">  </w:t>
      </w:r>
      <w:r>
        <w:rPr>
          <w:b/>
          <w:bCs/>
        </w:rPr>
        <w:t>提取</w:t>
      </w:r>
      <w:r>
        <w:rPr>
          <w:rFonts w:hint="eastAsia"/>
          <w:b/>
          <w:bCs/>
        </w:rPr>
        <w:t>工艺</w:t>
      </w:r>
      <w:r w:rsidRPr="005D7E02">
        <w:rPr>
          <w:b/>
          <w:bCs/>
        </w:rPr>
        <w:t>原理</w:t>
      </w:r>
      <w:r>
        <w:rPr>
          <w:rFonts w:ascii="宋体" w:hAnsi="宋体" w:cs="宋体" w:hint="eastAsia"/>
          <w:color w:val="000000"/>
          <w:kern w:val="10"/>
          <w:sz w:val="18"/>
          <w:szCs w:val="18"/>
        </w:rPr>
        <w:t xml:space="preserve">  </w:t>
      </w:r>
      <w:r>
        <w:t>植物性药材的提取</w:t>
      </w:r>
      <w:r>
        <w:rPr>
          <w:rFonts w:hint="eastAsia"/>
        </w:rPr>
        <w:t>主要是将其从</w:t>
      </w:r>
      <w:r>
        <w:t>固</w:t>
      </w:r>
      <w:r>
        <w:rPr>
          <w:rFonts w:hint="eastAsia"/>
        </w:rPr>
        <w:t>体转变为</w:t>
      </w:r>
      <w:r>
        <w:t>液态的过程，</w:t>
      </w:r>
      <w:r>
        <w:rPr>
          <w:rFonts w:hint="eastAsia"/>
        </w:rPr>
        <w:t>一般</w:t>
      </w:r>
      <w:r>
        <w:t>分为三个阶段，</w:t>
      </w:r>
      <w:r>
        <w:rPr>
          <w:rFonts w:hint="eastAsia"/>
        </w:rPr>
        <w:t>包括</w:t>
      </w:r>
      <w:r>
        <w:t>浸润、解吸溶解</w:t>
      </w:r>
      <w:r>
        <w:rPr>
          <w:rFonts w:hint="eastAsia"/>
        </w:rPr>
        <w:t>和</w:t>
      </w:r>
      <w:r>
        <w:t>扩散。浸润是将药材</w:t>
      </w:r>
      <w:r>
        <w:rPr>
          <w:rFonts w:hint="eastAsia"/>
        </w:rPr>
        <w:t>与</w:t>
      </w:r>
      <w:r>
        <w:t>溶剂</w:t>
      </w:r>
      <w:r>
        <w:rPr>
          <w:rFonts w:hint="eastAsia"/>
        </w:rPr>
        <w:t>充分</w:t>
      </w:r>
      <w:r>
        <w:t>融合，</w:t>
      </w:r>
      <w:r>
        <w:rPr>
          <w:rFonts w:hint="eastAsia"/>
        </w:rPr>
        <w:t>利用</w:t>
      </w:r>
      <w:r>
        <w:t>溶剂</w:t>
      </w:r>
      <w:r>
        <w:rPr>
          <w:rFonts w:hint="eastAsia"/>
        </w:rPr>
        <w:t>将药材进行</w:t>
      </w:r>
      <w:r>
        <w:t>溶解</w:t>
      </w:r>
      <w:r>
        <w:rPr>
          <w:rFonts w:hint="eastAsia"/>
        </w:rPr>
        <w:t>和</w:t>
      </w:r>
      <w:r>
        <w:t>渗透</w:t>
      </w:r>
      <w:r>
        <w:rPr>
          <w:rFonts w:hint="eastAsia"/>
        </w:rPr>
        <w:t>，以便提出药材的有</w:t>
      </w:r>
      <w:r>
        <w:t>效成分</w:t>
      </w:r>
      <w:r>
        <w:rPr>
          <w:rFonts w:hint="eastAsia"/>
        </w:rPr>
        <w:t>，</w:t>
      </w:r>
      <w:r>
        <w:t>溶剂</w:t>
      </w:r>
      <w:r>
        <w:rPr>
          <w:rFonts w:hint="eastAsia"/>
        </w:rPr>
        <w:t>与</w:t>
      </w:r>
      <w:r>
        <w:t>药材充分融合</w:t>
      </w:r>
      <w:r>
        <w:rPr>
          <w:rFonts w:hint="eastAsia"/>
        </w:rPr>
        <w:t>后可以通过药材的</w:t>
      </w:r>
      <w:r>
        <w:t>毛细血管渗透</w:t>
      </w:r>
      <w:r>
        <w:rPr>
          <w:rFonts w:hint="eastAsia"/>
        </w:rPr>
        <w:t>至</w:t>
      </w:r>
      <w:r>
        <w:t>组织细胞中，</w:t>
      </w:r>
      <w:r>
        <w:rPr>
          <w:rFonts w:hint="eastAsia"/>
        </w:rPr>
        <w:t>然后转换提取</w:t>
      </w:r>
      <w:r>
        <w:t>药材</w:t>
      </w:r>
      <w:r>
        <w:rPr>
          <w:rFonts w:hint="eastAsia"/>
        </w:rPr>
        <w:t>的</w:t>
      </w:r>
      <w:r>
        <w:t>有效成分。</w:t>
      </w:r>
      <w:r>
        <w:rPr>
          <w:rFonts w:hint="eastAsia"/>
        </w:rPr>
        <w:t>因此，</w:t>
      </w:r>
      <w:r>
        <w:t>溶剂的溶解</w:t>
      </w:r>
      <w:r>
        <w:rPr>
          <w:rFonts w:hint="eastAsia"/>
        </w:rPr>
        <w:t>性</w:t>
      </w:r>
      <w:r>
        <w:t>和渗透</w:t>
      </w:r>
      <w:r>
        <w:rPr>
          <w:rFonts w:hint="eastAsia"/>
        </w:rPr>
        <w:t>性决定了</w:t>
      </w:r>
      <w:r>
        <w:t>有效成分的提取</w:t>
      </w:r>
      <w:r>
        <w:rPr>
          <w:rFonts w:hint="eastAsia"/>
        </w:rPr>
        <w:t>率</w:t>
      </w:r>
      <w:r>
        <w:t>，</w:t>
      </w:r>
      <w:r>
        <w:rPr>
          <w:rFonts w:hint="eastAsia"/>
        </w:rPr>
        <w:t>对于选择</w:t>
      </w:r>
      <w:r>
        <w:t>何种溶解剂</w:t>
      </w:r>
      <w:r>
        <w:rPr>
          <w:rFonts w:hint="eastAsia"/>
        </w:rPr>
        <w:t>应保持</w:t>
      </w:r>
      <w:r>
        <w:t>慎重</w:t>
      </w:r>
      <w:r>
        <w:rPr>
          <w:rFonts w:hint="eastAsia"/>
        </w:rPr>
        <w:t>态度。</w:t>
      </w:r>
      <w:r>
        <w:t>浸润完成后，药材的有效成分</w:t>
      </w:r>
      <w:r>
        <w:rPr>
          <w:rFonts w:hint="eastAsia"/>
        </w:rPr>
        <w:t>基本位于</w:t>
      </w:r>
      <w:r>
        <w:t>组织细胞中，</w:t>
      </w:r>
      <w:r>
        <w:rPr>
          <w:rFonts w:hint="eastAsia"/>
        </w:rPr>
        <w:t>利用</w:t>
      </w:r>
      <w:r>
        <w:t>溶剂</w:t>
      </w:r>
      <w:r>
        <w:rPr>
          <w:rFonts w:hint="eastAsia"/>
        </w:rPr>
        <w:t>的</w:t>
      </w:r>
      <w:r>
        <w:t>吸附能力</w:t>
      </w:r>
      <w:r>
        <w:rPr>
          <w:rFonts w:hint="eastAsia"/>
        </w:rPr>
        <w:t>将有效</w:t>
      </w:r>
      <w:r>
        <w:t>成分从细胞中</w:t>
      </w:r>
      <w:r>
        <w:rPr>
          <w:rFonts w:hint="eastAsia"/>
        </w:rPr>
        <w:t>提取</w:t>
      </w:r>
      <w:r>
        <w:t>出来，这个过程</w:t>
      </w:r>
      <w:r>
        <w:rPr>
          <w:rFonts w:hint="eastAsia"/>
        </w:rPr>
        <w:t>就称为</w:t>
      </w:r>
      <w:r>
        <w:t>解吸作用，溶剂解吸</w:t>
      </w:r>
      <w:r>
        <w:rPr>
          <w:rFonts w:hint="eastAsia"/>
        </w:rPr>
        <w:t>能力的高低决定了</w:t>
      </w:r>
      <w:r>
        <w:t>药材有效成分</w:t>
      </w:r>
      <w:r>
        <w:rPr>
          <w:rFonts w:hint="eastAsia"/>
        </w:rPr>
        <w:t>的</w:t>
      </w:r>
      <w:r>
        <w:t>提取</w:t>
      </w:r>
      <w:r>
        <w:rPr>
          <w:rFonts w:hint="eastAsia"/>
        </w:rPr>
        <w:t>率，</w:t>
      </w:r>
      <w:r>
        <w:t>当溶剂与植物组织细胞</w:t>
      </w:r>
      <w:r>
        <w:rPr>
          <w:rFonts w:hint="eastAsia"/>
        </w:rPr>
        <w:t>发生</w:t>
      </w:r>
      <w:r>
        <w:t>融合</w:t>
      </w:r>
      <w:r>
        <w:rPr>
          <w:rFonts w:hint="eastAsia"/>
        </w:rPr>
        <w:t>后，溶剂</w:t>
      </w:r>
      <w:r>
        <w:t>浓度</w:t>
      </w:r>
      <w:r>
        <w:rPr>
          <w:rFonts w:hint="eastAsia"/>
        </w:rPr>
        <w:t>变高变成</w:t>
      </w:r>
      <w:r>
        <w:t>溶液，</w:t>
      </w:r>
      <w:r>
        <w:rPr>
          <w:rFonts w:hint="eastAsia"/>
        </w:rPr>
        <w:t>利用</w:t>
      </w:r>
      <w:r>
        <w:t>渗透压</w:t>
      </w:r>
      <w:r>
        <w:rPr>
          <w:rFonts w:hint="eastAsia"/>
        </w:rPr>
        <w:t>原理</w:t>
      </w:r>
      <w:r>
        <w:t>溶剂产生浓度差，</w:t>
      </w:r>
      <w:r>
        <w:rPr>
          <w:rFonts w:hint="eastAsia"/>
        </w:rPr>
        <w:t>最后将药材</w:t>
      </w:r>
      <w:r>
        <w:t>有效成分置换出来。</w:t>
      </w:r>
    </w:p>
    <w:p w:rsidR="00FA166D" w:rsidRDefault="00FA166D" w:rsidP="00FA166D">
      <w:pPr>
        <w:spacing w:line="360" w:lineRule="auto"/>
      </w:pPr>
      <w:r>
        <w:rPr>
          <w:rFonts w:cs="Times New Roman"/>
          <w:b/>
          <w:bCs/>
        </w:rPr>
        <w:lastRenderedPageBreak/>
        <w:t>1</w:t>
      </w:r>
      <w:r>
        <w:rPr>
          <w:rFonts w:cs="Times New Roman" w:hint="eastAsia"/>
          <w:b/>
          <w:bCs/>
        </w:rPr>
        <w:t>.</w:t>
      </w:r>
      <w:r>
        <w:rPr>
          <w:rFonts w:cs="Times New Roman"/>
          <w:b/>
          <w:bCs/>
        </w:rPr>
        <w:t>3</w:t>
      </w:r>
      <w:r>
        <w:rPr>
          <w:rFonts w:cs="Times New Roman" w:hint="eastAsia"/>
          <w:b/>
          <w:bCs/>
        </w:rPr>
        <w:t xml:space="preserve">  </w:t>
      </w:r>
      <w:r w:rsidRPr="00670754">
        <w:rPr>
          <w:rFonts w:cs="Times New Roman"/>
          <w:b/>
          <w:bCs/>
        </w:rPr>
        <w:t>发展</w:t>
      </w:r>
      <w:r w:rsidRPr="00670754">
        <w:rPr>
          <w:rFonts w:cs="Times New Roman" w:hint="eastAsia"/>
          <w:b/>
          <w:bCs/>
        </w:rPr>
        <w:t>前景及问题</w:t>
      </w:r>
      <w:r>
        <w:rPr>
          <w:rFonts w:hint="eastAsia"/>
        </w:rPr>
        <w:t xml:space="preserve">  </w:t>
      </w:r>
      <w:r>
        <w:t xml:space="preserve"> </w:t>
      </w:r>
      <w:r>
        <w:t>中药药剂提取</w:t>
      </w:r>
      <w:r>
        <w:rPr>
          <w:rFonts w:hint="eastAsia"/>
        </w:rPr>
        <w:t>工艺</w:t>
      </w:r>
      <w:r>
        <w:t>发展</w:t>
      </w:r>
      <w:r>
        <w:rPr>
          <w:rFonts w:hint="eastAsia"/>
        </w:rPr>
        <w:t>历史悠久，</w:t>
      </w:r>
      <w:r>
        <w:t>从静态提取</w:t>
      </w:r>
      <w:r>
        <w:rPr>
          <w:rFonts w:hint="eastAsia"/>
        </w:rPr>
        <w:t>、</w:t>
      </w:r>
      <w:r>
        <w:t>动态提取</w:t>
      </w:r>
      <w:r>
        <w:rPr>
          <w:rFonts w:hint="eastAsia"/>
        </w:rPr>
        <w:t>，</w:t>
      </w:r>
      <w:r>
        <w:t>再到动态逆流提取，最后</w:t>
      </w:r>
      <w:r>
        <w:rPr>
          <w:rFonts w:hint="eastAsia"/>
        </w:rPr>
        <w:t>逐渐发展到</w:t>
      </w:r>
      <w:r>
        <w:t>动态循环连续逆流提取。在提取方法</w:t>
      </w:r>
      <w:r>
        <w:rPr>
          <w:rFonts w:hint="eastAsia"/>
        </w:rPr>
        <w:t>发展和创新过程中</w:t>
      </w:r>
      <w:r>
        <w:t>，</w:t>
      </w:r>
      <w:r>
        <w:rPr>
          <w:rFonts w:hint="eastAsia"/>
        </w:rPr>
        <w:t>各种</w:t>
      </w:r>
      <w:r>
        <w:t>新型提取</w:t>
      </w:r>
      <w:r>
        <w:rPr>
          <w:rFonts w:hint="eastAsia"/>
        </w:rPr>
        <w:t>方式不断出现，但每种方案的发现其目的</w:t>
      </w:r>
      <w:r>
        <w:t>都是要提高中药药剂有效成分的提取</w:t>
      </w:r>
      <w:r>
        <w:rPr>
          <w:rFonts w:hint="eastAsia"/>
        </w:rPr>
        <w:t>率，最大程度</w:t>
      </w:r>
      <w:r>
        <w:t>减少药材</w:t>
      </w:r>
      <w:r>
        <w:rPr>
          <w:rFonts w:hint="eastAsia"/>
        </w:rPr>
        <w:t>的</w:t>
      </w:r>
      <w:r>
        <w:t>浪费</w:t>
      </w:r>
      <w:r w:rsidRPr="003368B1">
        <w:rPr>
          <w:rFonts w:cs="Times New Roman"/>
          <w:szCs w:val="20"/>
          <w:vertAlign w:val="superscript"/>
        </w:rPr>
        <w:t>[</w:t>
      </w:r>
      <w:r>
        <w:rPr>
          <w:rFonts w:cs="Times New Roman"/>
          <w:szCs w:val="20"/>
          <w:vertAlign w:val="superscript"/>
        </w:rPr>
        <w:t>4</w:t>
      </w:r>
      <w:r w:rsidRPr="003368B1">
        <w:rPr>
          <w:rFonts w:cs="Times New Roman"/>
          <w:szCs w:val="20"/>
          <w:vertAlign w:val="superscript"/>
        </w:rPr>
        <w:t>]</w:t>
      </w:r>
      <w:r>
        <w:t>。</w:t>
      </w:r>
      <w:r>
        <w:rPr>
          <w:rFonts w:hint="eastAsia"/>
        </w:rPr>
        <w:t>目前，</w:t>
      </w:r>
      <w:r>
        <w:t>动态循环连续逆流提取方法</w:t>
      </w:r>
      <w:r>
        <w:rPr>
          <w:rFonts w:hint="eastAsia"/>
        </w:rPr>
        <w:t>作为</w:t>
      </w:r>
      <w:r>
        <w:t>最先进的</w:t>
      </w:r>
      <w:r>
        <w:rPr>
          <w:rFonts w:hint="eastAsia"/>
        </w:rPr>
        <w:t>提取工艺</w:t>
      </w:r>
      <w:r>
        <w:t>，</w:t>
      </w:r>
      <w:r>
        <w:rPr>
          <w:rFonts w:hint="eastAsia"/>
        </w:rPr>
        <w:t>依然存在不少</w:t>
      </w:r>
      <w:r>
        <w:t>问题，</w:t>
      </w:r>
      <w:r>
        <w:rPr>
          <w:rFonts w:hint="eastAsia"/>
        </w:rPr>
        <w:t>比如该种方案只能对</w:t>
      </w:r>
      <w:r>
        <w:t>一种药材进行提取，</w:t>
      </w:r>
      <w:r>
        <w:rPr>
          <w:rFonts w:hint="eastAsia"/>
        </w:rPr>
        <w:t>无法</w:t>
      </w:r>
      <w:r>
        <w:t>同时多种药</w:t>
      </w:r>
      <w:r>
        <w:rPr>
          <w:rFonts w:hint="eastAsia"/>
        </w:rPr>
        <w:t>材，同时由于不同</w:t>
      </w:r>
      <w:r>
        <w:t>药材的</w:t>
      </w:r>
      <w:r>
        <w:rPr>
          <w:rFonts w:hint="eastAsia"/>
        </w:rPr>
        <w:t>理化性质和</w:t>
      </w:r>
      <w:r>
        <w:t>溶解度都</w:t>
      </w:r>
      <w:r>
        <w:rPr>
          <w:rFonts w:hint="eastAsia"/>
        </w:rPr>
        <w:t>不尽相同</w:t>
      </w:r>
      <w:r>
        <w:t>，</w:t>
      </w:r>
      <w:r>
        <w:rPr>
          <w:rFonts w:hint="eastAsia"/>
        </w:rPr>
        <w:t>因此在对</w:t>
      </w:r>
      <w:r>
        <w:t>多种药材</w:t>
      </w:r>
      <w:r>
        <w:rPr>
          <w:rFonts w:hint="eastAsia"/>
        </w:rPr>
        <w:t>的</w:t>
      </w:r>
      <w:r>
        <w:t>提取</w:t>
      </w:r>
      <w:r>
        <w:rPr>
          <w:rFonts w:hint="eastAsia"/>
        </w:rPr>
        <w:t>过程中</w:t>
      </w:r>
      <w:r>
        <w:t>又会间接影响提</w:t>
      </w:r>
      <w:r>
        <w:t xml:space="preserve"> </w:t>
      </w:r>
      <w:r>
        <w:t>取</w:t>
      </w:r>
      <w:r>
        <w:rPr>
          <w:rFonts w:hint="eastAsia"/>
        </w:rPr>
        <w:t>率</w:t>
      </w:r>
      <w:r>
        <w:t>，</w:t>
      </w:r>
      <w:r>
        <w:rPr>
          <w:rFonts w:hint="eastAsia"/>
        </w:rPr>
        <w:t>所以，我们迫切需要</w:t>
      </w:r>
      <w:r>
        <w:t>寻求</w:t>
      </w:r>
      <w:r>
        <w:rPr>
          <w:rFonts w:hint="eastAsia"/>
        </w:rPr>
        <w:t>其他</w:t>
      </w:r>
      <w:r>
        <w:t>提取</w:t>
      </w:r>
      <w:r>
        <w:rPr>
          <w:rFonts w:hint="eastAsia"/>
        </w:rPr>
        <w:t>工艺。</w:t>
      </w:r>
    </w:p>
    <w:p w:rsidR="00FA166D" w:rsidRDefault="00FA166D" w:rsidP="00FA166D">
      <w:pPr>
        <w:pStyle w:val="3"/>
        <w:ind w:firstLine="422"/>
      </w:pPr>
      <w:r>
        <w:t xml:space="preserve">2 </w:t>
      </w:r>
      <w:r>
        <w:rPr>
          <w:rFonts w:hint="eastAsia"/>
        </w:rPr>
        <w:t xml:space="preserve"> </w:t>
      </w:r>
      <w:r>
        <w:rPr>
          <w:rFonts w:hint="eastAsia"/>
        </w:rPr>
        <w:t>中药</w:t>
      </w:r>
      <w:r w:rsidRPr="005D7E02">
        <w:t>提取工艺</w:t>
      </w:r>
      <w:r>
        <w:rPr>
          <w:rFonts w:hint="eastAsia"/>
        </w:rPr>
        <w:t>与质量</w:t>
      </w:r>
      <w:r>
        <w:rPr>
          <w:rFonts w:hint="eastAsia"/>
        </w:rPr>
        <w:t xml:space="preserve">  </w:t>
      </w:r>
    </w:p>
    <w:p w:rsidR="00FA166D" w:rsidRDefault="00FA166D" w:rsidP="00FA166D">
      <w:pPr>
        <w:spacing w:line="360" w:lineRule="auto"/>
      </w:pPr>
      <w:r>
        <w:rPr>
          <w:rFonts w:cs="Times New Roman"/>
          <w:b/>
          <w:bCs/>
        </w:rPr>
        <w:t>2</w:t>
      </w:r>
      <w:r>
        <w:rPr>
          <w:rFonts w:cs="Times New Roman" w:hint="eastAsia"/>
          <w:b/>
          <w:bCs/>
        </w:rPr>
        <w:t>.1</w:t>
      </w:r>
      <w:r>
        <w:rPr>
          <w:rFonts w:cs="Times New Roman"/>
          <w:b/>
          <w:bCs/>
        </w:rPr>
        <w:t xml:space="preserve">  </w:t>
      </w:r>
      <w:r w:rsidRPr="00670754">
        <w:rPr>
          <w:rFonts w:cs="Times New Roman"/>
          <w:b/>
          <w:bCs/>
        </w:rPr>
        <w:t>提取</w:t>
      </w:r>
      <w:r w:rsidRPr="00670754">
        <w:rPr>
          <w:rFonts w:cs="Times New Roman" w:hint="eastAsia"/>
          <w:b/>
          <w:bCs/>
        </w:rPr>
        <w:t>工艺与药物</w:t>
      </w:r>
      <w:r w:rsidRPr="00670754">
        <w:rPr>
          <w:rFonts w:cs="Times New Roman"/>
          <w:b/>
          <w:bCs/>
        </w:rPr>
        <w:t>有效成</w:t>
      </w:r>
      <w:r w:rsidRPr="00670754">
        <w:rPr>
          <w:rFonts w:cs="Times New Roman" w:hint="eastAsia"/>
          <w:b/>
          <w:bCs/>
        </w:rPr>
        <w:t>的关系</w:t>
      </w:r>
      <w:r>
        <w:rPr>
          <w:rFonts w:cs="Times New Roman" w:hint="eastAsia"/>
          <w:b/>
          <w:bCs/>
        </w:rPr>
        <w:t xml:space="preserve"> </w:t>
      </w:r>
      <w:r>
        <w:rPr>
          <w:rFonts w:cs="Times New Roman"/>
          <w:b/>
          <w:bCs/>
        </w:rPr>
        <w:t xml:space="preserve"> </w:t>
      </w:r>
      <w:r>
        <w:t>动态循环连续逆流提取方法</w:t>
      </w:r>
      <w:r>
        <w:rPr>
          <w:rFonts w:hint="eastAsia"/>
        </w:rPr>
        <w:t>作为</w:t>
      </w:r>
      <w:r>
        <w:t>最先进的</w:t>
      </w:r>
      <w:r>
        <w:rPr>
          <w:rFonts w:hint="eastAsia"/>
        </w:rPr>
        <w:t>提取工艺</w:t>
      </w:r>
      <w:r>
        <w:t>，</w:t>
      </w:r>
      <w:r>
        <w:rPr>
          <w:rFonts w:hint="eastAsia"/>
        </w:rPr>
        <w:t>虽然还存在很多</w:t>
      </w:r>
      <w:r>
        <w:t>问题</w:t>
      </w:r>
      <w:r>
        <w:rPr>
          <w:rFonts w:hint="eastAsia"/>
        </w:rPr>
        <w:t>没有得到解决</w:t>
      </w:r>
      <w:r>
        <w:t>，但</w:t>
      </w:r>
      <w:r>
        <w:rPr>
          <w:rFonts w:hint="eastAsia"/>
        </w:rPr>
        <w:t>从本质上看，任何</w:t>
      </w:r>
      <w:r>
        <w:t>技术发展到</w:t>
      </w:r>
      <w:r>
        <w:rPr>
          <w:rFonts w:hint="eastAsia"/>
        </w:rPr>
        <w:t>不同</w:t>
      </w:r>
      <w:r>
        <w:t>阶段，</w:t>
      </w:r>
      <w:r>
        <w:rPr>
          <w:rFonts w:hint="eastAsia"/>
        </w:rPr>
        <w:t>使用</w:t>
      </w:r>
      <w:r>
        <w:t>何种提取设备，都需要</w:t>
      </w:r>
      <w:r>
        <w:rPr>
          <w:rFonts w:hint="eastAsia"/>
        </w:rPr>
        <w:t>利用</w:t>
      </w:r>
      <w:r>
        <w:t>溶剂与药材浸泡溶解</w:t>
      </w:r>
      <w:r>
        <w:rPr>
          <w:rFonts w:hint="eastAsia"/>
        </w:rPr>
        <w:t>后进行置换提取，因此，溶</w:t>
      </w:r>
      <w:r>
        <w:t>剂作为药剂提取的</w:t>
      </w:r>
      <w:r>
        <w:rPr>
          <w:rFonts w:hint="eastAsia"/>
        </w:rPr>
        <w:t>重要</w:t>
      </w:r>
      <w:r>
        <w:t>载体，</w:t>
      </w:r>
      <w:r>
        <w:rPr>
          <w:rFonts w:hint="eastAsia"/>
        </w:rPr>
        <w:t>具有</w:t>
      </w:r>
      <w:r>
        <w:t>溶解</w:t>
      </w:r>
      <w:r>
        <w:rPr>
          <w:rFonts w:hint="eastAsia"/>
        </w:rPr>
        <w:t>和置换双重作用，</w:t>
      </w:r>
      <w:r>
        <w:t>实际</w:t>
      </w:r>
      <w:r>
        <w:rPr>
          <w:rFonts w:hint="eastAsia"/>
        </w:rPr>
        <w:t>提取</w:t>
      </w:r>
      <w:r>
        <w:t>过程中，最</w:t>
      </w:r>
      <w:r>
        <w:rPr>
          <w:rFonts w:hint="eastAsia"/>
        </w:rPr>
        <w:t>常应用的</w:t>
      </w:r>
      <w:r>
        <w:t>方法包括煎煮法、浸渍法、渗</w:t>
      </w:r>
      <w:proofErr w:type="gramStart"/>
      <w:r>
        <w:t>漉</w:t>
      </w:r>
      <w:proofErr w:type="gramEnd"/>
      <w:r>
        <w:t>法、回流提取法等，</w:t>
      </w:r>
      <w:r>
        <w:rPr>
          <w:rFonts w:hint="eastAsia"/>
        </w:rPr>
        <w:t>虽然不同方式对药材有效成分的</w:t>
      </w:r>
      <w:r>
        <w:t>提取</w:t>
      </w:r>
      <w:r>
        <w:rPr>
          <w:rFonts w:hint="eastAsia"/>
        </w:rPr>
        <w:t>率</w:t>
      </w:r>
      <w:r>
        <w:t>不同，但</w:t>
      </w:r>
      <w:r>
        <w:rPr>
          <w:rFonts w:hint="eastAsia"/>
        </w:rPr>
        <w:t>总体而言，其</w:t>
      </w:r>
      <w:r>
        <w:t>提取有效率都在不断提高，同时，中药药材提取设备也在</w:t>
      </w:r>
      <w:r>
        <w:rPr>
          <w:rFonts w:hint="eastAsia"/>
        </w:rPr>
        <w:t>逐步升级，</w:t>
      </w:r>
      <w:r>
        <w:t>这对</w:t>
      </w:r>
      <w:r>
        <w:rPr>
          <w:rFonts w:hint="eastAsia"/>
        </w:rPr>
        <w:t>于</w:t>
      </w:r>
      <w:r>
        <w:t>药材有效成分的</w:t>
      </w:r>
      <w:r>
        <w:rPr>
          <w:rFonts w:hint="eastAsia"/>
        </w:rPr>
        <w:t>充分</w:t>
      </w:r>
      <w:r>
        <w:t>提取</w:t>
      </w:r>
      <w:r>
        <w:rPr>
          <w:rFonts w:hint="eastAsia"/>
        </w:rPr>
        <w:t>具有重要意义。</w:t>
      </w:r>
    </w:p>
    <w:p w:rsidR="00FA166D" w:rsidRDefault="00FA166D" w:rsidP="00FA166D">
      <w:pPr>
        <w:spacing w:line="360" w:lineRule="auto"/>
        <w:rPr>
          <w:rFonts w:cs="Times New Roman"/>
          <w:b/>
          <w:bCs/>
        </w:rPr>
      </w:pPr>
      <w:r>
        <w:rPr>
          <w:rFonts w:cs="Times New Roman"/>
          <w:b/>
          <w:bCs/>
        </w:rPr>
        <w:t>2</w:t>
      </w:r>
      <w:r>
        <w:rPr>
          <w:rFonts w:cs="Times New Roman" w:hint="eastAsia"/>
          <w:b/>
          <w:bCs/>
        </w:rPr>
        <w:t>.</w:t>
      </w:r>
      <w:r>
        <w:rPr>
          <w:rFonts w:cs="Times New Roman"/>
          <w:b/>
          <w:bCs/>
        </w:rPr>
        <w:t xml:space="preserve">2  </w:t>
      </w:r>
      <w:proofErr w:type="gramStart"/>
      <w:r w:rsidRPr="00670754">
        <w:rPr>
          <w:rFonts w:cs="Times New Roman"/>
          <w:b/>
          <w:bCs/>
        </w:rPr>
        <w:t>溶</w:t>
      </w:r>
      <w:proofErr w:type="gramEnd"/>
      <w:r w:rsidRPr="00670754">
        <w:rPr>
          <w:rFonts w:cs="Times New Roman"/>
          <w:b/>
          <w:bCs/>
        </w:rPr>
        <w:t>媒质量</w:t>
      </w:r>
      <w:r w:rsidRPr="00670754">
        <w:rPr>
          <w:rFonts w:cs="Times New Roman" w:hint="eastAsia"/>
          <w:b/>
          <w:bCs/>
        </w:rPr>
        <w:t>和</w:t>
      </w:r>
      <w:r w:rsidRPr="00670754">
        <w:rPr>
          <w:rFonts w:cs="Times New Roman"/>
          <w:b/>
          <w:bCs/>
        </w:rPr>
        <w:t>溶解</w:t>
      </w:r>
      <w:r w:rsidRPr="00670754">
        <w:rPr>
          <w:rFonts w:cs="Times New Roman" w:hint="eastAsia"/>
          <w:b/>
          <w:bCs/>
        </w:rPr>
        <w:t>度与</w:t>
      </w:r>
      <w:r>
        <w:rPr>
          <w:rFonts w:cs="Times New Roman" w:hint="eastAsia"/>
          <w:b/>
          <w:bCs/>
        </w:rPr>
        <w:t>药材</w:t>
      </w:r>
      <w:r w:rsidRPr="00670754">
        <w:rPr>
          <w:rFonts w:cs="Times New Roman"/>
          <w:b/>
          <w:bCs/>
        </w:rPr>
        <w:t>有效成</w:t>
      </w:r>
      <w:r>
        <w:rPr>
          <w:rFonts w:cs="Times New Roman" w:hint="eastAsia"/>
          <w:b/>
          <w:bCs/>
        </w:rPr>
        <w:t>分</w:t>
      </w:r>
      <w:r w:rsidRPr="00670754">
        <w:rPr>
          <w:rFonts w:cs="Times New Roman" w:hint="eastAsia"/>
          <w:b/>
          <w:bCs/>
        </w:rPr>
        <w:t>的关系</w:t>
      </w:r>
      <w:r>
        <w:rPr>
          <w:rFonts w:cs="Times New Roman" w:hint="eastAsia"/>
          <w:b/>
          <w:bCs/>
        </w:rPr>
        <w:t xml:space="preserve"> </w:t>
      </w:r>
      <w:r>
        <w:rPr>
          <w:rFonts w:cs="Times New Roman"/>
          <w:b/>
          <w:bCs/>
        </w:rPr>
        <w:t xml:space="preserve"> </w:t>
      </w:r>
      <w:r>
        <w:t>溶媒</w:t>
      </w:r>
      <w:r>
        <w:rPr>
          <w:rFonts w:hint="eastAsia"/>
        </w:rPr>
        <w:t>作为药材有</w:t>
      </w:r>
      <w:r>
        <w:t>效成分提取</w:t>
      </w:r>
      <w:r>
        <w:rPr>
          <w:rFonts w:hint="eastAsia"/>
        </w:rPr>
        <w:t>的</w:t>
      </w:r>
      <w:r>
        <w:t>重要材料，</w:t>
      </w:r>
      <w:r>
        <w:rPr>
          <w:rFonts w:hint="eastAsia"/>
        </w:rPr>
        <w:t>对于</w:t>
      </w:r>
      <w:r>
        <w:t>药剂</w:t>
      </w:r>
      <w:r>
        <w:rPr>
          <w:rFonts w:hint="eastAsia"/>
        </w:rPr>
        <w:t>制作具有重要作用，一般应用的</w:t>
      </w:r>
      <w:r>
        <w:t>溶媒主要分为水溶液</w:t>
      </w:r>
      <w:r>
        <w:rPr>
          <w:rFonts w:hint="eastAsia"/>
        </w:rPr>
        <w:t>和</w:t>
      </w:r>
      <w:r>
        <w:t>有机物。水溶液</w:t>
      </w:r>
      <w:r>
        <w:rPr>
          <w:rFonts w:hint="eastAsia"/>
        </w:rPr>
        <w:t>是</w:t>
      </w:r>
      <w:r>
        <w:t>大部分药物的</w:t>
      </w:r>
      <w:r>
        <w:rPr>
          <w:rFonts w:hint="eastAsia"/>
        </w:rPr>
        <w:t>常用</w:t>
      </w:r>
      <w:r>
        <w:t>溶媒，</w:t>
      </w:r>
      <w:r>
        <w:rPr>
          <w:rFonts w:hint="eastAsia"/>
        </w:rPr>
        <w:t>具有</w:t>
      </w:r>
      <w:r>
        <w:t>价格</w:t>
      </w:r>
      <w:r>
        <w:rPr>
          <w:rFonts w:hint="eastAsia"/>
        </w:rPr>
        <w:t>低廉、应用广泛等特点</w:t>
      </w:r>
      <w:r>
        <w:t>。</w:t>
      </w:r>
      <w:r>
        <w:rPr>
          <w:rFonts w:hint="eastAsia"/>
        </w:rPr>
        <w:t>对于</w:t>
      </w:r>
      <w:r>
        <w:t>不溶于水</w:t>
      </w:r>
      <w:r>
        <w:rPr>
          <w:rFonts w:hint="eastAsia"/>
        </w:rPr>
        <w:t>溶液</w:t>
      </w:r>
      <w:r>
        <w:t>的药材</w:t>
      </w:r>
      <w:r>
        <w:rPr>
          <w:rFonts w:hint="eastAsia"/>
        </w:rPr>
        <w:t>则需要应用</w:t>
      </w:r>
      <w:r>
        <w:t>有机物</w:t>
      </w:r>
      <w:r>
        <w:rPr>
          <w:rFonts w:hint="eastAsia"/>
        </w:rPr>
        <w:t>进行</w:t>
      </w:r>
      <w:r>
        <w:t>溶解，</w:t>
      </w:r>
      <w:r>
        <w:rPr>
          <w:rFonts w:hint="eastAsia"/>
        </w:rPr>
        <w:t>实际中常用有</w:t>
      </w:r>
      <w:r>
        <w:t>机物</w:t>
      </w:r>
      <w:r>
        <w:rPr>
          <w:rFonts w:hint="eastAsia"/>
        </w:rPr>
        <w:t>包括</w:t>
      </w:r>
      <w:r>
        <w:t>乙醇、乙醚等。</w:t>
      </w:r>
      <w:r>
        <w:rPr>
          <w:rFonts w:hint="eastAsia"/>
        </w:rPr>
        <w:t>选择</w:t>
      </w:r>
      <w:r>
        <w:t>何种溶媒</w:t>
      </w:r>
      <w:r>
        <w:rPr>
          <w:rFonts w:hint="eastAsia"/>
        </w:rPr>
        <w:t>和</w:t>
      </w:r>
      <w:r>
        <w:t>溶媒</w:t>
      </w:r>
      <w:r>
        <w:rPr>
          <w:rFonts w:hint="eastAsia"/>
        </w:rPr>
        <w:t>剂量主要</w:t>
      </w:r>
      <w:r>
        <w:t>取决于药材</w:t>
      </w:r>
      <w:r>
        <w:rPr>
          <w:rFonts w:hint="eastAsia"/>
        </w:rPr>
        <w:t>自身的</w:t>
      </w:r>
      <w:r>
        <w:t>溶解度</w:t>
      </w:r>
      <w:r>
        <w:rPr>
          <w:rFonts w:hint="eastAsia"/>
        </w:rPr>
        <w:t>和理化性质，</w:t>
      </w:r>
      <w:r>
        <w:t>溶媒对有效成分必须要有足够的溶解度，而对于无效</w:t>
      </w:r>
      <w:r>
        <w:rPr>
          <w:rFonts w:hint="eastAsia"/>
        </w:rPr>
        <w:t>充分则应该具有低溶解特性，</w:t>
      </w:r>
      <w:r>
        <w:t>溶媒选择</w:t>
      </w:r>
      <w:r>
        <w:rPr>
          <w:rFonts w:hint="eastAsia"/>
        </w:rPr>
        <w:t>一方面需要考虑</w:t>
      </w:r>
      <w:r>
        <w:t>溶解度</w:t>
      </w:r>
      <w:r>
        <w:rPr>
          <w:rFonts w:hint="eastAsia"/>
        </w:rPr>
        <w:t>，另一方面还需要考虑</w:t>
      </w:r>
      <w:r>
        <w:t>价格、用量、购买</w:t>
      </w:r>
      <w:r>
        <w:rPr>
          <w:rFonts w:hint="eastAsia"/>
        </w:rPr>
        <w:t>是否</w:t>
      </w:r>
      <w:r>
        <w:t>方便</w:t>
      </w:r>
      <w:r>
        <w:rPr>
          <w:rFonts w:hint="eastAsia"/>
        </w:rPr>
        <w:t>等，同时尽可能选择</w:t>
      </w:r>
      <w:r>
        <w:t>危险性较小</w:t>
      </w:r>
      <w:r>
        <w:rPr>
          <w:rFonts w:hint="eastAsia"/>
        </w:rPr>
        <w:t>、</w:t>
      </w:r>
      <w:r>
        <w:t>对</w:t>
      </w:r>
      <w:r>
        <w:rPr>
          <w:rFonts w:hint="eastAsia"/>
        </w:rPr>
        <w:t>人体无害的</w:t>
      </w:r>
      <w:r>
        <w:t>溶媒</w:t>
      </w:r>
      <w:r>
        <w:rPr>
          <w:rFonts w:hint="eastAsia"/>
        </w:rPr>
        <w:t>。</w:t>
      </w:r>
    </w:p>
    <w:p w:rsidR="00FA166D" w:rsidRDefault="00FA166D" w:rsidP="00FA166D">
      <w:pPr>
        <w:spacing w:line="360" w:lineRule="auto"/>
      </w:pPr>
      <w:r>
        <w:rPr>
          <w:rFonts w:cs="Times New Roman"/>
          <w:b/>
          <w:bCs/>
        </w:rPr>
        <w:t>2</w:t>
      </w:r>
      <w:r>
        <w:rPr>
          <w:rFonts w:cs="Times New Roman" w:hint="eastAsia"/>
          <w:b/>
          <w:bCs/>
        </w:rPr>
        <w:t>.</w:t>
      </w:r>
      <w:r>
        <w:rPr>
          <w:rFonts w:cs="Times New Roman"/>
          <w:b/>
          <w:bCs/>
        </w:rPr>
        <w:t xml:space="preserve">3  </w:t>
      </w:r>
      <w:r w:rsidRPr="00670754">
        <w:rPr>
          <w:rFonts w:cs="Times New Roman"/>
          <w:b/>
          <w:bCs/>
        </w:rPr>
        <w:t>研磨程度</w:t>
      </w:r>
      <w:r w:rsidRPr="00670754">
        <w:rPr>
          <w:rFonts w:cs="Times New Roman" w:hint="eastAsia"/>
          <w:b/>
          <w:bCs/>
        </w:rPr>
        <w:t>与</w:t>
      </w:r>
      <w:r w:rsidRPr="00670754">
        <w:rPr>
          <w:rFonts w:cs="Times New Roman"/>
          <w:b/>
          <w:bCs/>
        </w:rPr>
        <w:t>药材有效成分</w:t>
      </w:r>
      <w:r w:rsidRPr="00670754">
        <w:rPr>
          <w:rFonts w:cs="Times New Roman" w:hint="eastAsia"/>
          <w:b/>
          <w:bCs/>
        </w:rPr>
        <w:t>的关系</w:t>
      </w:r>
      <w:r>
        <w:rPr>
          <w:rFonts w:cs="Times New Roman" w:hint="eastAsia"/>
          <w:b/>
          <w:bCs/>
        </w:rPr>
        <w:t xml:space="preserve"> </w:t>
      </w:r>
      <w:r>
        <w:rPr>
          <w:rFonts w:cs="Times New Roman"/>
          <w:b/>
          <w:bCs/>
        </w:rPr>
        <w:t xml:space="preserve"> </w:t>
      </w:r>
      <w:r>
        <w:t>药材的研磨度也影响药材</w:t>
      </w:r>
      <w:r>
        <w:rPr>
          <w:rFonts w:hint="eastAsia"/>
        </w:rPr>
        <w:t>有效</w:t>
      </w:r>
      <w:r>
        <w:t>成分</w:t>
      </w:r>
      <w:r>
        <w:rPr>
          <w:rFonts w:hint="eastAsia"/>
        </w:rPr>
        <w:t>的</w:t>
      </w:r>
      <w:r>
        <w:t>提取</w:t>
      </w:r>
      <w:r>
        <w:rPr>
          <w:rFonts w:hint="eastAsia"/>
        </w:rPr>
        <w:t>率，在对</w:t>
      </w:r>
      <w:r>
        <w:t>药材进行提取前，</w:t>
      </w:r>
      <w:r>
        <w:rPr>
          <w:rFonts w:hint="eastAsia"/>
        </w:rPr>
        <w:t>通常需要</w:t>
      </w:r>
      <w:r>
        <w:t>进行</w:t>
      </w:r>
      <w:r>
        <w:rPr>
          <w:rFonts w:hint="eastAsia"/>
        </w:rPr>
        <w:t>充分</w:t>
      </w:r>
      <w:r>
        <w:t>研磨，</w:t>
      </w:r>
      <w:r>
        <w:rPr>
          <w:rFonts w:hint="eastAsia"/>
        </w:rPr>
        <w:t>而</w:t>
      </w:r>
      <w:r>
        <w:t>药材的粉碎程度也间接</w:t>
      </w:r>
      <w:r>
        <w:rPr>
          <w:rFonts w:hint="eastAsia"/>
        </w:rPr>
        <w:t>的</w:t>
      </w:r>
      <w:r>
        <w:t>影响</w:t>
      </w:r>
      <w:r>
        <w:rPr>
          <w:rFonts w:hint="eastAsia"/>
        </w:rPr>
        <w:t>者</w:t>
      </w:r>
      <w:r>
        <w:t>药材有效成分的提</w:t>
      </w:r>
      <w:r>
        <w:lastRenderedPageBreak/>
        <w:t>取</w:t>
      </w:r>
      <w:r>
        <w:rPr>
          <w:rFonts w:hint="eastAsia"/>
        </w:rPr>
        <w:t>率</w:t>
      </w:r>
      <w:r>
        <w:t>。中药材料来源广泛，形状各异，</w:t>
      </w:r>
      <w:r>
        <w:rPr>
          <w:rFonts w:hint="eastAsia"/>
        </w:rPr>
        <w:t>有</w:t>
      </w:r>
      <w:r>
        <w:t>块状、颗粒</w:t>
      </w:r>
      <w:r>
        <w:rPr>
          <w:rFonts w:hint="eastAsia"/>
        </w:rPr>
        <w:t>状</w:t>
      </w:r>
      <w:r>
        <w:t>，</w:t>
      </w:r>
      <w:r>
        <w:rPr>
          <w:rFonts w:hint="eastAsia"/>
        </w:rPr>
        <w:t>还有一些从动物身上提取材料也需要一定的</w:t>
      </w:r>
      <w:r>
        <w:t>外部条件，</w:t>
      </w:r>
      <w:r>
        <w:rPr>
          <w:rFonts w:hint="eastAsia"/>
        </w:rPr>
        <w:t>所以</w:t>
      </w:r>
      <w:r>
        <w:t>药物材料的状态也是</w:t>
      </w:r>
      <w:r>
        <w:rPr>
          <w:rFonts w:hint="eastAsia"/>
        </w:rPr>
        <w:t>中药提取过程中</w:t>
      </w:r>
      <w:r>
        <w:t>重要的影响因素。</w:t>
      </w:r>
      <w:r>
        <w:rPr>
          <w:rFonts w:hint="eastAsia"/>
        </w:rPr>
        <w:t>一般来说，药材</w:t>
      </w:r>
      <w:r>
        <w:t>研磨程度越高</w:t>
      </w:r>
      <w:r>
        <w:rPr>
          <w:rFonts w:hint="eastAsia"/>
        </w:rPr>
        <w:t>、粉碎性越好则</w:t>
      </w:r>
      <w:r>
        <w:t>有效成分提取</w:t>
      </w:r>
      <w:r>
        <w:rPr>
          <w:rFonts w:hint="eastAsia"/>
        </w:rPr>
        <w:t>率越高，但对于一些患而言，</w:t>
      </w:r>
      <w:r>
        <w:t>我们应选择合适的药材</w:t>
      </w:r>
      <w:r>
        <w:rPr>
          <w:rFonts w:hint="eastAsia"/>
        </w:rPr>
        <w:t>研磨</w:t>
      </w:r>
      <w:r>
        <w:t>程度，</w:t>
      </w:r>
      <w:r>
        <w:rPr>
          <w:rFonts w:hint="eastAsia"/>
        </w:rPr>
        <w:t>同时鉴于部分</w:t>
      </w:r>
      <w:r>
        <w:t>药</w:t>
      </w:r>
      <w:r>
        <w:rPr>
          <w:rFonts w:hint="eastAsia"/>
        </w:rPr>
        <w:t>材的特性</w:t>
      </w:r>
      <w:r w:rsidRPr="003368B1">
        <w:rPr>
          <w:rFonts w:cs="Times New Roman"/>
          <w:szCs w:val="20"/>
          <w:vertAlign w:val="superscript"/>
        </w:rPr>
        <w:t>[</w:t>
      </w:r>
      <w:r>
        <w:rPr>
          <w:rFonts w:cs="Times New Roman"/>
          <w:szCs w:val="20"/>
          <w:vertAlign w:val="superscript"/>
        </w:rPr>
        <w:t>5</w:t>
      </w:r>
      <w:r w:rsidRPr="003368B1">
        <w:rPr>
          <w:rFonts w:cs="Times New Roman"/>
          <w:szCs w:val="20"/>
          <w:vertAlign w:val="superscript"/>
        </w:rPr>
        <w:t>]</w:t>
      </w:r>
      <w:r>
        <w:rPr>
          <w:rFonts w:hint="eastAsia"/>
        </w:rPr>
        <w:t>，过分研磨会</w:t>
      </w:r>
      <w:r>
        <w:t>间接影响提取效果。</w:t>
      </w:r>
      <w:r>
        <w:rPr>
          <w:rFonts w:hint="eastAsia"/>
        </w:rPr>
        <w:t>因此，应该根据</w:t>
      </w:r>
      <w:r>
        <w:t>各种实际</w:t>
      </w:r>
      <w:r>
        <w:rPr>
          <w:rFonts w:hint="eastAsia"/>
        </w:rPr>
        <w:t>情况决定研磨粉碎程度，</w:t>
      </w:r>
      <w:r>
        <w:t>不断提高</w:t>
      </w:r>
      <w:r>
        <w:rPr>
          <w:rFonts w:hint="eastAsia"/>
        </w:rPr>
        <w:t>中药</w:t>
      </w:r>
      <w:r>
        <w:t>药材有效成分的提取</w:t>
      </w:r>
      <w:r>
        <w:rPr>
          <w:rFonts w:hint="eastAsia"/>
        </w:rPr>
        <w:t>率。</w:t>
      </w:r>
    </w:p>
    <w:p w:rsidR="00FA166D" w:rsidRPr="00B27F80" w:rsidRDefault="00FA166D" w:rsidP="00FA166D">
      <w:pPr>
        <w:autoSpaceDE w:val="0"/>
        <w:autoSpaceDN w:val="0"/>
        <w:adjustRightInd w:val="0"/>
        <w:spacing w:line="360" w:lineRule="auto"/>
        <w:rPr>
          <w:rFonts w:cs="Times New Roman"/>
          <w:b/>
          <w:szCs w:val="20"/>
        </w:rPr>
      </w:pPr>
    </w:p>
    <w:p w:rsidR="00FA166D" w:rsidRDefault="00FA166D" w:rsidP="00FA166D">
      <w:pPr>
        <w:pStyle w:val="3"/>
        <w:ind w:firstLine="422"/>
      </w:pPr>
      <w:r>
        <w:rPr>
          <w:rFonts w:hint="eastAsia"/>
        </w:rPr>
        <w:t>参考文献</w:t>
      </w:r>
    </w:p>
    <w:p w:rsidR="00FA166D" w:rsidRPr="00FA166D" w:rsidRDefault="00FA166D" w:rsidP="00FA166D">
      <w:pPr>
        <w:spacing w:line="360" w:lineRule="auto"/>
        <w:rPr>
          <w:rFonts w:cs="Times New Roman"/>
          <w:sz w:val="20"/>
          <w:szCs w:val="20"/>
        </w:rPr>
      </w:pPr>
      <w:r w:rsidRPr="00FA166D">
        <w:rPr>
          <w:rFonts w:cs="Times New Roman"/>
          <w:sz w:val="20"/>
          <w:szCs w:val="20"/>
        </w:rPr>
        <w:t xml:space="preserve">[1] </w:t>
      </w:r>
      <w:r w:rsidRPr="00FA166D">
        <w:rPr>
          <w:rFonts w:cs="Times New Roman"/>
          <w:sz w:val="20"/>
          <w:szCs w:val="20"/>
        </w:rPr>
        <w:t>陈赟</w:t>
      </w:r>
      <w:r w:rsidRPr="00FA166D">
        <w:rPr>
          <w:rFonts w:cs="Times New Roman"/>
          <w:sz w:val="20"/>
          <w:szCs w:val="20"/>
        </w:rPr>
        <w:t xml:space="preserve"> </w:t>
      </w:r>
      <w:r w:rsidRPr="00FA166D">
        <w:rPr>
          <w:rFonts w:cs="Times New Roman"/>
          <w:sz w:val="20"/>
          <w:szCs w:val="20"/>
        </w:rPr>
        <w:t>，江周虹，田景奎，等</w:t>
      </w:r>
      <w:r w:rsidRPr="00FA166D">
        <w:rPr>
          <w:rFonts w:cs="Times New Roman"/>
          <w:sz w:val="20"/>
          <w:szCs w:val="20"/>
        </w:rPr>
        <w:t>.</w:t>
      </w:r>
      <w:r w:rsidRPr="00FA166D">
        <w:rPr>
          <w:rFonts w:cs="Times New Roman"/>
          <w:sz w:val="20"/>
          <w:szCs w:val="20"/>
        </w:rPr>
        <w:t>中药有效成分提取新技术的研究进展</w:t>
      </w:r>
      <w:r w:rsidRPr="00FA166D">
        <w:rPr>
          <w:rFonts w:cs="Times New Roman"/>
          <w:sz w:val="20"/>
          <w:szCs w:val="20"/>
        </w:rPr>
        <w:t>[J].</w:t>
      </w:r>
      <w:r w:rsidRPr="00FA166D">
        <w:rPr>
          <w:rFonts w:cs="Times New Roman"/>
          <w:sz w:val="20"/>
          <w:szCs w:val="20"/>
        </w:rPr>
        <w:t>亚太传统医药，</w:t>
      </w:r>
      <w:r w:rsidRPr="00FA166D">
        <w:rPr>
          <w:rFonts w:cs="Times New Roman"/>
          <w:sz w:val="20"/>
          <w:szCs w:val="20"/>
        </w:rPr>
        <w:t>2015</w:t>
      </w:r>
      <w:r w:rsidRPr="00FA166D">
        <w:rPr>
          <w:rFonts w:cs="Times New Roman"/>
          <w:sz w:val="20"/>
          <w:szCs w:val="20"/>
        </w:rPr>
        <w:t>，</w:t>
      </w:r>
      <w:r w:rsidRPr="00FA166D">
        <w:rPr>
          <w:rFonts w:cs="Times New Roman"/>
          <w:sz w:val="20"/>
          <w:szCs w:val="20"/>
        </w:rPr>
        <w:t>(01)</w:t>
      </w:r>
      <w:r w:rsidRPr="00FA166D">
        <w:rPr>
          <w:rFonts w:cs="Times New Roman"/>
          <w:sz w:val="20"/>
          <w:szCs w:val="20"/>
        </w:rPr>
        <w:t>：</w:t>
      </w:r>
      <w:r w:rsidRPr="00FA166D">
        <w:rPr>
          <w:rFonts w:cs="Times New Roman"/>
          <w:sz w:val="20"/>
          <w:szCs w:val="20"/>
        </w:rPr>
        <w:t>2-33.</w:t>
      </w:r>
    </w:p>
    <w:p w:rsidR="00FA166D" w:rsidRPr="00FA166D" w:rsidRDefault="00FA166D" w:rsidP="00FA166D">
      <w:pPr>
        <w:spacing w:line="360" w:lineRule="auto"/>
        <w:rPr>
          <w:rFonts w:cs="Times New Roman"/>
          <w:sz w:val="20"/>
          <w:szCs w:val="20"/>
        </w:rPr>
      </w:pPr>
      <w:r w:rsidRPr="00FA166D">
        <w:rPr>
          <w:rFonts w:cs="Times New Roman"/>
          <w:sz w:val="20"/>
          <w:szCs w:val="20"/>
        </w:rPr>
        <w:t xml:space="preserve">[2] </w:t>
      </w:r>
      <w:proofErr w:type="gramStart"/>
      <w:r w:rsidRPr="00FA166D">
        <w:rPr>
          <w:rFonts w:cs="Times New Roman"/>
          <w:sz w:val="20"/>
          <w:szCs w:val="20"/>
        </w:rPr>
        <w:t>魏垂林</w:t>
      </w:r>
      <w:proofErr w:type="gramEnd"/>
      <w:r w:rsidRPr="00FA166D">
        <w:rPr>
          <w:rFonts w:cs="Times New Roman"/>
          <w:sz w:val="20"/>
          <w:szCs w:val="20"/>
        </w:rPr>
        <w:t>.</w:t>
      </w:r>
      <w:r w:rsidRPr="00FA166D">
        <w:rPr>
          <w:rFonts w:cs="Times New Roman"/>
          <w:sz w:val="20"/>
          <w:szCs w:val="20"/>
        </w:rPr>
        <w:t>中药提取工艺对药品质量的影响</w:t>
      </w:r>
      <w:r w:rsidRPr="00FA166D">
        <w:rPr>
          <w:rFonts w:cs="Times New Roman"/>
          <w:sz w:val="20"/>
          <w:szCs w:val="20"/>
        </w:rPr>
        <w:t>[J].</w:t>
      </w:r>
      <w:r w:rsidRPr="00FA166D">
        <w:rPr>
          <w:rFonts w:cs="Times New Roman"/>
          <w:sz w:val="20"/>
          <w:szCs w:val="20"/>
        </w:rPr>
        <w:t>黑龙江科技信息，</w:t>
      </w:r>
      <w:r w:rsidRPr="00FA166D">
        <w:rPr>
          <w:rFonts w:cs="Times New Roman"/>
          <w:sz w:val="20"/>
          <w:szCs w:val="20"/>
        </w:rPr>
        <w:t>2014</w:t>
      </w:r>
      <w:r w:rsidRPr="00FA166D">
        <w:rPr>
          <w:rFonts w:cs="Times New Roman"/>
          <w:sz w:val="20"/>
          <w:szCs w:val="20"/>
        </w:rPr>
        <w:t>，</w:t>
      </w:r>
      <w:r w:rsidRPr="00FA166D">
        <w:rPr>
          <w:rFonts w:cs="Times New Roman"/>
          <w:sz w:val="20"/>
          <w:szCs w:val="20"/>
        </w:rPr>
        <w:t>(06)</w:t>
      </w:r>
      <w:r w:rsidRPr="00FA166D">
        <w:rPr>
          <w:rFonts w:cs="Times New Roman"/>
          <w:sz w:val="20"/>
          <w:szCs w:val="20"/>
        </w:rPr>
        <w:t>：</w:t>
      </w:r>
      <w:r w:rsidRPr="00FA166D">
        <w:rPr>
          <w:rFonts w:cs="Times New Roman"/>
          <w:sz w:val="20"/>
          <w:szCs w:val="20"/>
        </w:rPr>
        <w:t>107-108.</w:t>
      </w:r>
    </w:p>
    <w:p w:rsidR="00FA166D" w:rsidRPr="00FA166D" w:rsidRDefault="00FA166D" w:rsidP="00FA166D">
      <w:pPr>
        <w:spacing w:line="360" w:lineRule="auto"/>
        <w:rPr>
          <w:rFonts w:cs="Times New Roman"/>
          <w:sz w:val="20"/>
          <w:szCs w:val="20"/>
        </w:rPr>
      </w:pPr>
      <w:r w:rsidRPr="00FA166D">
        <w:rPr>
          <w:rFonts w:cs="Times New Roman"/>
          <w:sz w:val="20"/>
          <w:szCs w:val="20"/>
        </w:rPr>
        <w:t xml:space="preserve">[3] </w:t>
      </w:r>
      <w:r w:rsidRPr="00FA166D">
        <w:rPr>
          <w:rFonts w:cs="Times New Roman"/>
          <w:sz w:val="20"/>
          <w:szCs w:val="20"/>
        </w:rPr>
        <w:t>邢建</w:t>
      </w:r>
      <w:proofErr w:type="gramStart"/>
      <w:r w:rsidRPr="00FA166D">
        <w:rPr>
          <w:rFonts w:cs="Times New Roman"/>
          <w:sz w:val="20"/>
          <w:szCs w:val="20"/>
        </w:rPr>
        <w:t>渌</w:t>
      </w:r>
      <w:proofErr w:type="gramEnd"/>
      <w:r w:rsidRPr="00FA166D">
        <w:rPr>
          <w:rFonts w:cs="Times New Roman"/>
          <w:sz w:val="20"/>
          <w:szCs w:val="20"/>
        </w:rPr>
        <w:t>.</w:t>
      </w:r>
      <w:r w:rsidRPr="00FA166D">
        <w:rPr>
          <w:rFonts w:cs="Times New Roman"/>
          <w:sz w:val="20"/>
          <w:szCs w:val="20"/>
        </w:rPr>
        <w:t>中药提取工艺的原理及影响中药提取效果的因素探讨</w:t>
      </w:r>
      <w:r w:rsidRPr="00FA166D">
        <w:rPr>
          <w:rFonts w:cs="Times New Roman"/>
          <w:sz w:val="20"/>
          <w:szCs w:val="20"/>
        </w:rPr>
        <w:t>[J].</w:t>
      </w:r>
      <w:r w:rsidRPr="00FA166D">
        <w:rPr>
          <w:rFonts w:cs="Times New Roman"/>
          <w:sz w:val="20"/>
          <w:szCs w:val="20"/>
        </w:rPr>
        <w:t>科技传播，</w:t>
      </w:r>
      <w:r w:rsidRPr="00FA166D">
        <w:rPr>
          <w:rFonts w:cs="Times New Roman"/>
          <w:sz w:val="20"/>
          <w:szCs w:val="20"/>
        </w:rPr>
        <w:t>2014</w:t>
      </w:r>
      <w:r w:rsidRPr="00FA166D">
        <w:rPr>
          <w:rFonts w:cs="Times New Roman"/>
          <w:sz w:val="20"/>
          <w:szCs w:val="20"/>
        </w:rPr>
        <w:t>，</w:t>
      </w:r>
      <w:r w:rsidRPr="00FA166D">
        <w:rPr>
          <w:rFonts w:cs="Times New Roman"/>
          <w:sz w:val="20"/>
          <w:szCs w:val="20"/>
        </w:rPr>
        <w:t>(14)</w:t>
      </w:r>
      <w:r w:rsidRPr="00FA166D">
        <w:rPr>
          <w:rFonts w:cs="Times New Roman"/>
          <w:sz w:val="20"/>
          <w:szCs w:val="20"/>
        </w:rPr>
        <w:t>：</w:t>
      </w:r>
      <w:r w:rsidRPr="00FA166D">
        <w:rPr>
          <w:rFonts w:cs="Times New Roman"/>
          <w:sz w:val="20"/>
          <w:szCs w:val="20"/>
        </w:rPr>
        <w:t xml:space="preserve">68-69. </w:t>
      </w:r>
    </w:p>
    <w:p w:rsidR="00FA166D" w:rsidRPr="00FA166D" w:rsidRDefault="00FA166D" w:rsidP="00FA166D">
      <w:pPr>
        <w:spacing w:line="360" w:lineRule="auto"/>
        <w:rPr>
          <w:rFonts w:cs="Times New Roman"/>
          <w:sz w:val="20"/>
          <w:szCs w:val="20"/>
        </w:rPr>
      </w:pPr>
      <w:r w:rsidRPr="00FA166D">
        <w:rPr>
          <w:rFonts w:cs="Times New Roman"/>
          <w:sz w:val="20"/>
          <w:szCs w:val="20"/>
        </w:rPr>
        <w:t xml:space="preserve">[4] </w:t>
      </w:r>
      <w:r w:rsidRPr="00FA166D">
        <w:rPr>
          <w:rFonts w:cs="Times New Roman"/>
          <w:sz w:val="20"/>
          <w:szCs w:val="20"/>
        </w:rPr>
        <w:t>徐华玲，吕华瑛</w:t>
      </w:r>
      <w:r w:rsidRPr="00FA166D">
        <w:rPr>
          <w:rFonts w:cs="Times New Roman"/>
          <w:sz w:val="20"/>
          <w:szCs w:val="20"/>
        </w:rPr>
        <w:t xml:space="preserve">. </w:t>
      </w:r>
      <w:r w:rsidRPr="00FA166D">
        <w:rPr>
          <w:rFonts w:cs="Times New Roman"/>
          <w:sz w:val="20"/>
          <w:szCs w:val="20"/>
        </w:rPr>
        <w:t>中药提取与精制现代新技术的研究进展</w:t>
      </w:r>
      <w:r w:rsidRPr="00FA166D">
        <w:rPr>
          <w:rFonts w:cs="Times New Roman"/>
          <w:sz w:val="20"/>
          <w:szCs w:val="20"/>
        </w:rPr>
        <w:t>[J].</w:t>
      </w:r>
      <w:r w:rsidRPr="00FA166D">
        <w:rPr>
          <w:rFonts w:cs="Times New Roman"/>
          <w:sz w:val="20"/>
          <w:szCs w:val="20"/>
        </w:rPr>
        <w:t>甘肃中医，</w:t>
      </w:r>
      <w:r w:rsidRPr="00FA166D">
        <w:rPr>
          <w:rFonts w:cs="Times New Roman"/>
          <w:sz w:val="20"/>
          <w:szCs w:val="20"/>
        </w:rPr>
        <w:t xml:space="preserve"> 2008</w:t>
      </w:r>
      <w:r w:rsidRPr="00FA166D">
        <w:rPr>
          <w:rFonts w:cs="Times New Roman"/>
          <w:sz w:val="20"/>
          <w:szCs w:val="20"/>
        </w:rPr>
        <w:t>，</w:t>
      </w:r>
      <w:r w:rsidRPr="00FA166D">
        <w:rPr>
          <w:rFonts w:cs="Times New Roman"/>
          <w:sz w:val="20"/>
          <w:szCs w:val="20"/>
        </w:rPr>
        <w:t>(06)</w:t>
      </w:r>
      <w:r w:rsidRPr="00FA166D">
        <w:rPr>
          <w:rFonts w:cs="Times New Roman"/>
          <w:sz w:val="20"/>
          <w:szCs w:val="20"/>
        </w:rPr>
        <w:t>：</w:t>
      </w:r>
      <w:r w:rsidRPr="00FA166D">
        <w:rPr>
          <w:rFonts w:cs="Times New Roman"/>
          <w:sz w:val="20"/>
          <w:szCs w:val="20"/>
        </w:rPr>
        <w:t>113-114.</w:t>
      </w:r>
    </w:p>
    <w:p w:rsidR="00FA166D" w:rsidRPr="00FA166D" w:rsidRDefault="00FA166D" w:rsidP="00FA166D">
      <w:pPr>
        <w:spacing w:line="360" w:lineRule="auto"/>
        <w:rPr>
          <w:rFonts w:cs="Times New Roman"/>
          <w:sz w:val="20"/>
          <w:szCs w:val="20"/>
        </w:rPr>
      </w:pPr>
      <w:r w:rsidRPr="00FA166D">
        <w:rPr>
          <w:rFonts w:cs="Times New Roman"/>
          <w:sz w:val="20"/>
          <w:szCs w:val="20"/>
        </w:rPr>
        <w:t xml:space="preserve">[5] </w:t>
      </w:r>
      <w:r w:rsidRPr="00FA166D">
        <w:rPr>
          <w:rFonts w:cs="Times New Roman"/>
          <w:sz w:val="20"/>
          <w:szCs w:val="20"/>
        </w:rPr>
        <w:t>李军红，刘淑芝，金日显</w:t>
      </w:r>
      <w:r w:rsidRPr="00FA166D">
        <w:rPr>
          <w:rFonts w:cs="Times New Roman"/>
          <w:sz w:val="20"/>
          <w:szCs w:val="20"/>
        </w:rPr>
        <w:t xml:space="preserve">. </w:t>
      </w:r>
      <w:r w:rsidRPr="00FA166D">
        <w:rPr>
          <w:rFonts w:cs="Times New Roman"/>
          <w:sz w:val="20"/>
          <w:szCs w:val="20"/>
        </w:rPr>
        <w:t>中药提取新技术研究概述</w:t>
      </w:r>
      <w:r w:rsidRPr="00FA166D">
        <w:rPr>
          <w:rFonts w:cs="Times New Roman"/>
          <w:sz w:val="20"/>
          <w:szCs w:val="20"/>
        </w:rPr>
        <w:t>[J].</w:t>
      </w:r>
      <w:r w:rsidRPr="00FA166D">
        <w:rPr>
          <w:rFonts w:cs="Times New Roman"/>
          <w:sz w:val="20"/>
          <w:szCs w:val="20"/>
        </w:rPr>
        <w:t>中国中医药信息杂志，</w:t>
      </w:r>
      <w:r w:rsidRPr="00FA166D">
        <w:rPr>
          <w:rFonts w:cs="Times New Roman"/>
          <w:sz w:val="20"/>
          <w:szCs w:val="20"/>
        </w:rPr>
        <w:t>2008</w:t>
      </w:r>
      <w:r w:rsidRPr="00FA166D">
        <w:rPr>
          <w:rFonts w:cs="Times New Roman"/>
          <w:sz w:val="20"/>
          <w:szCs w:val="20"/>
        </w:rPr>
        <w:t>，</w:t>
      </w:r>
      <w:r w:rsidRPr="00FA166D">
        <w:rPr>
          <w:rFonts w:cs="Times New Roman"/>
          <w:sz w:val="20"/>
          <w:szCs w:val="20"/>
        </w:rPr>
        <w:t>(01)</w:t>
      </w:r>
      <w:r w:rsidRPr="00FA166D">
        <w:rPr>
          <w:rFonts w:cs="Times New Roman"/>
          <w:sz w:val="20"/>
          <w:szCs w:val="20"/>
        </w:rPr>
        <w:t>：</w:t>
      </w:r>
      <w:r w:rsidRPr="00FA166D">
        <w:rPr>
          <w:rFonts w:cs="Times New Roman"/>
          <w:sz w:val="20"/>
          <w:szCs w:val="20"/>
        </w:rPr>
        <w:t>154-155.</w:t>
      </w:r>
    </w:p>
    <w:p w:rsidR="00FA166D" w:rsidRPr="00956981" w:rsidRDefault="00FA166D" w:rsidP="00FA166D">
      <w:pPr>
        <w:spacing w:line="360" w:lineRule="auto"/>
        <w:rPr>
          <w:szCs w:val="20"/>
        </w:rPr>
      </w:pPr>
    </w:p>
    <w:p w:rsidR="005B5FEC" w:rsidRPr="00FA166D" w:rsidRDefault="005B5FEC" w:rsidP="005B5FEC">
      <w:pPr>
        <w:pStyle w:val="a4"/>
        <w:ind w:firstLineChars="0" w:firstLine="0"/>
        <w:rPr>
          <w:sz w:val="16"/>
        </w:rPr>
      </w:pPr>
    </w:p>
    <w:p w:rsidR="00DE2FE0" w:rsidRPr="00DE2FE0" w:rsidRDefault="00DE2FE0" w:rsidP="0032361D">
      <w:pPr>
        <w:pStyle w:val="1"/>
      </w:pPr>
    </w:p>
    <w:sectPr w:rsidR="00DE2FE0" w:rsidRPr="00DE2FE0" w:rsidSect="002B34F1">
      <w:headerReference w:type="default" r:id="rId18"/>
      <w:pgSz w:w="11906" w:h="16838" w:code="9"/>
      <w:pgMar w:top="1418" w:right="1701" w:bottom="1418" w:left="1701" w:header="851" w:footer="992" w:gutter="0"/>
      <w:pgNumType w:start="1"/>
      <w:cols w:space="425"/>
      <w:docGrid w:type="lines" w:linePitch="39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4FB" w:rsidRDefault="009E44FB" w:rsidP="00D27499">
      <w:r>
        <w:separator/>
      </w:r>
    </w:p>
  </w:endnote>
  <w:endnote w:type="continuationSeparator" w:id="0">
    <w:p w:rsidR="009E44FB" w:rsidRDefault="009E44FB" w:rsidP="00D2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9AD" w:rsidRDefault="009E44FB">
    <w:pPr>
      <w:pStyle w:val="ad"/>
    </w:pPr>
    <w:sdt>
      <w:sdtPr>
        <w:id w:val="1700353928"/>
        <w:docPartObj>
          <w:docPartGallery w:val="Page Numbers (Bottom of Page)"/>
          <w:docPartUnique/>
        </w:docPartObj>
      </w:sdtPr>
      <w:sdtEndPr/>
      <w:sdtContent>
        <w:r w:rsidR="009829AD">
          <w:rPr>
            <w:rFonts w:hint="eastAsia"/>
          </w:rPr>
          <w:t xml:space="preserve">- </w:t>
        </w:r>
        <w:r w:rsidR="009829AD">
          <w:fldChar w:fldCharType="begin"/>
        </w:r>
        <w:r w:rsidR="009829AD">
          <w:instrText>PAGE   \* MERGEFORMAT</w:instrText>
        </w:r>
        <w:r w:rsidR="009829AD">
          <w:fldChar w:fldCharType="separate"/>
        </w:r>
        <w:r w:rsidR="006A1677" w:rsidRPr="006A1677">
          <w:rPr>
            <w:noProof/>
            <w:lang w:val="zh-CN"/>
          </w:rPr>
          <w:t>18</w:t>
        </w:r>
        <w:r w:rsidR="009829AD">
          <w:fldChar w:fldCharType="end"/>
        </w:r>
      </w:sdtContent>
    </w:sdt>
    <w:r w:rsidR="009829AD">
      <w:rPr>
        <w:rFonts w:hint="eastAsia"/>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9AD" w:rsidRDefault="009E44FB" w:rsidP="001229BF">
    <w:pPr>
      <w:pStyle w:val="ad"/>
      <w:wordWrap w:val="0"/>
      <w:ind w:left="360" w:right="90"/>
      <w:jc w:val="right"/>
    </w:pPr>
    <w:sdt>
      <w:sdtPr>
        <w:id w:val="-1764300715"/>
        <w:docPartObj>
          <w:docPartGallery w:val="Page Numbers (Bottom of Page)"/>
          <w:docPartUnique/>
        </w:docPartObj>
      </w:sdtPr>
      <w:sdtEndPr/>
      <w:sdtContent>
        <w:r w:rsidR="009829AD">
          <w:rPr>
            <w:rFonts w:hint="eastAsia"/>
          </w:rPr>
          <w:t xml:space="preserve">- </w:t>
        </w:r>
        <w:r w:rsidR="009829AD">
          <w:fldChar w:fldCharType="begin"/>
        </w:r>
        <w:r w:rsidR="009829AD">
          <w:instrText>PAGE   \* MERGEFORMAT</w:instrText>
        </w:r>
        <w:r w:rsidR="009829AD">
          <w:fldChar w:fldCharType="separate"/>
        </w:r>
        <w:r w:rsidR="006A1677" w:rsidRPr="006A1677">
          <w:rPr>
            <w:noProof/>
            <w:lang w:val="zh-CN"/>
          </w:rPr>
          <w:t>17</w:t>
        </w:r>
        <w:r w:rsidR="009829AD">
          <w:fldChar w:fldCharType="end"/>
        </w:r>
      </w:sdtContent>
    </w:sdt>
    <w:r w:rsidR="009829AD">
      <w:rPr>
        <w:rFonts w:hint="eastAsia"/>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4FB" w:rsidRDefault="009E44FB" w:rsidP="00D27499">
      <w:r>
        <w:separator/>
      </w:r>
    </w:p>
  </w:footnote>
  <w:footnote w:type="continuationSeparator" w:id="0">
    <w:p w:rsidR="009E44FB" w:rsidRDefault="009E44FB" w:rsidP="00D274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9AD" w:rsidRDefault="009E44FB" w:rsidP="001229BF">
    <w:pPr>
      <w:pStyle w:val="ab"/>
      <w:jc w:val="left"/>
    </w:pPr>
    <w:r>
      <w:fldChar w:fldCharType="begin"/>
    </w:r>
    <w:r>
      <w:instrText xml:space="preserve"> FILENAME   \* MERGEFORMAT </w:instrText>
    </w:r>
    <w:r>
      <w:fldChar w:fldCharType="separate"/>
    </w:r>
    <w:r w:rsidR="009829AD">
      <w:rPr>
        <w:rFonts w:hint="eastAsia"/>
        <w:noProof/>
      </w:rPr>
      <w:t>文档</w:t>
    </w:r>
    <w:r w:rsidR="009829AD">
      <w:rPr>
        <w:rFonts w:hint="eastAsia"/>
        <w:noProof/>
      </w:rPr>
      <w:t>1</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9AD" w:rsidRDefault="009E44FB" w:rsidP="001229BF">
    <w:pPr>
      <w:pStyle w:val="ab"/>
      <w:jc w:val="left"/>
    </w:pPr>
    <w:r>
      <w:fldChar w:fldCharType="begin"/>
    </w:r>
    <w:r>
      <w:instrText xml:space="preserve"> FILENAME   \* MERGEFORMAT </w:instrText>
    </w:r>
    <w:r>
      <w:fldChar w:fldCharType="separate"/>
    </w:r>
    <w:r w:rsidR="009829AD">
      <w:rPr>
        <w:rFonts w:hint="eastAsia"/>
        <w:noProof/>
      </w:rPr>
      <w:t>文档</w:t>
    </w:r>
    <w:r w:rsidR="009829AD">
      <w:rPr>
        <w:rFonts w:hint="eastAsia"/>
        <w:noProof/>
      </w:rPr>
      <w:t>1</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9AD" w:rsidRPr="002B34F1" w:rsidRDefault="009829AD" w:rsidP="002B34F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9AD" w:rsidRDefault="009E44FB" w:rsidP="006D4782">
    <w:pPr>
      <w:pStyle w:val="ab"/>
      <w:jc w:val="right"/>
    </w:pPr>
    <w:r>
      <w:fldChar w:fldCharType="begin"/>
    </w:r>
    <w:r>
      <w:instrText xml:space="preserve"> FILENAME   \* MERGEFORM</w:instrText>
    </w:r>
    <w:r>
      <w:instrText xml:space="preserve">AT </w:instrText>
    </w:r>
    <w:r>
      <w:fldChar w:fldCharType="separate"/>
    </w:r>
    <w:r w:rsidR="009829AD">
      <w:rPr>
        <w:rFonts w:hint="eastAsia"/>
        <w:noProof/>
      </w:rPr>
      <w:t>文档</w:t>
    </w:r>
    <w:r w:rsidR="009829AD">
      <w:rPr>
        <w:rFonts w:hint="eastAsia"/>
        <w:noProof/>
      </w:rPr>
      <w:t>1</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4D5E"/>
    <w:multiLevelType w:val="hybridMultilevel"/>
    <w:tmpl w:val="F14C7546"/>
    <w:lvl w:ilvl="0" w:tplc="19BEF246">
      <w:start w:val="1"/>
      <w:numFmt w:val="decimal"/>
      <w:lvlText w:val="%1"/>
      <w:lvlJc w:val="left"/>
      <w:pPr>
        <w:tabs>
          <w:tab w:val="num" w:pos="360"/>
        </w:tabs>
        <w:ind w:left="360" w:hanging="36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 w15:restartNumberingAfterBreak="0">
    <w:nsid w:val="19DB220A"/>
    <w:multiLevelType w:val="multilevel"/>
    <w:tmpl w:val="2CF2C312"/>
    <w:lvl w:ilvl="0">
      <w:start w:val="100"/>
      <w:numFmt w:val="decimal"/>
      <w:lvlText w:val="%1.0"/>
      <w:lvlJc w:val="left"/>
      <w:pPr>
        <w:ind w:left="480" w:hanging="480"/>
      </w:pPr>
      <w:rPr>
        <w:rFonts w:cs="Times New Roman" w:hint="default"/>
      </w:rPr>
    </w:lvl>
    <w:lvl w:ilvl="1">
      <w:start w:val="1"/>
      <w:numFmt w:val="decimal"/>
      <w:lvlText w:val="%1.%2"/>
      <w:lvlJc w:val="left"/>
      <w:pPr>
        <w:ind w:left="900" w:hanging="48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160" w:hanging="1800"/>
      </w:pPr>
      <w:rPr>
        <w:rFonts w:cs="Times New Roman" w:hint="default"/>
      </w:rPr>
    </w:lvl>
  </w:abstractNum>
  <w:abstractNum w:abstractNumId="2" w15:restartNumberingAfterBreak="0">
    <w:nsid w:val="20D8312C"/>
    <w:multiLevelType w:val="multilevel"/>
    <w:tmpl w:val="CF3CC578"/>
    <w:lvl w:ilvl="0">
      <w:start w:val="3"/>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7F1535C"/>
    <w:multiLevelType w:val="hybridMultilevel"/>
    <w:tmpl w:val="FC26BFCE"/>
    <w:lvl w:ilvl="0" w:tplc="157A43F2">
      <w:start w:val="1"/>
      <w:numFmt w:val="decimal"/>
      <w:lvlText w:val="（%1）"/>
      <w:lvlJc w:val="left"/>
      <w:pPr>
        <w:ind w:left="1200" w:hanging="7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4" w15:restartNumberingAfterBreak="0">
    <w:nsid w:val="3A4D546C"/>
    <w:multiLevelType w:val="hybridMultilevel"/>
    <w:tmpl w:val="2CDA01D6"/>
    <w:lvl w:ilvl="0" w:tplc="9CF2781C">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5" w15:restartNumberingAfterBreak="0">
    <w:nsid w:val="44327397"/>
    <w:multiLevelType w:val="hybridMultilevel"/>
    <w:tmpl w:val="94CE1ABA"/>
    <w:lvl w:ilvl="0" w:tplc="F04878AA">
      <w:start w:val="1"/>
      <w:numFmt w:val="japaneseCounting"/>
      <w:lvlText w:val="%1、"/>
      <w:lvlJc w:val="left"/>
      <w:pPr>
        <w:ind w:left="870" w:hanging="45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15:restartNumberingAfterBreak="0">
    <w:nsid w:val="52E8657A"/>
    <w:multiLevelType w:val="hybridMultilevel"/>
    <w:tmpl w:val="F3021DFA"/>
    <w:lvl w:ilvl="0" w:tplc="6896B44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5F2669C"/>
    <w:multiLevelType w:val="hybridMultilevel"/>
    <w:tmpl w:val="F20C3F36"/>
    <w:lvl w:ilvl="0" w:tplc="E9E8135C">
      <w:start w:val="1"/>
      <w:numFmt w:val="decimal"/>
      <w:lvlText w:val="%1."/>
      <w:lvlJc w:val="left"/>
      <w:pPr>
        <w:ind w:left="840" w:hanging="36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8" w15:restartNumberingAfterBreak="0">
    <w:nsid w:val="568B4957"/>
    <w:multiLevelType w:val="singleLevel"/>
    <w:tmpl w:val="568B4957"/>
    <w:lvl w:ilvl="0">
      <w:start w:val="1"/>
      <w:numFmt w:val="decimal"/>
      <w:suff w:val="space"/>
      <w:lvlText w:val="%1."/>
      <w:lvlJc w:val="left"/>
      <w:rPr>
        <w:rFonts w:cs="Times New Roman"/>
      </w:rPr>
    </w:lvl>
  </w:abstractNum>
  <w:abstractNum w:abstractNumId="9" w15:restartNumberingAfterBreak="0">
    <w:nsid w:val="568B58CB"/>
    <w:multiLevelType w:val="singleLevel"/>
    <w:tmpl w:val="568B58CB"/>
    <w:lvl w:ilvl="0">
      <w:start w:val="3"/>
      <w:numFmt w:val="decimal"/>
      <w:suff w:val="space"/>
      <w:lvlText w:val="%1."/>
      <w:lvlJc w:val="left"/>
      <w:rPr>
        <w:rFonts w:cs="Times New Roman"/>
      </w:rPr>
    </w:lvl>
  </w:abstractNum>
  <w:abstractNum w:abstractNumId="10" w15:restartNumberingAfterBreak="0">
    <w:nsid w:val="5707C4FE"/>
    <w:multiLevelType w:val="singleLevel"/>
    <w:tmpl w:val="5707C4FE"/>
    <w:lvl w:ilvl="0">
      <w:start w:val="3"/>
      <w:numFmt w:val="decimal"/>
      <w:suff w:val="nothing"/>
      <w:lvlText w:val="%1."/>
      <w:lvlJc w:val="left"/>
      <w:rPr>
        <w:rFonts w:cs="Times New Roman"/>
      </w:rPr>
    </w:lvl>
  </w:abstractNum>
  <w:abstractNum w:abstractNumId="11" w15:restartNumberingAfterBreak="0">
    <w:nsid w:val="6E493512"/>
    <w:multiLevelType w:val="multilevel"/>
    <w:tmpl w:val="4996762E"/>
    <w:lvl w:ilvl="0">
      <w:start w:val="2"/>
      <w:numFmt w:val="decimal"/>
      <w:lvlText w:val="%1"/>
      <w:lvlJc w:val="left"/>
      <w:pPr>
        <w:ind w:left="360" w:hanging="360"/>
      </w:pPr>
      <w:rPr>
        <w:rFonts w:ascii="Times New Roman" w:hAnsi="Times New Roman" w:cs="Times New Roman"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2" w15:restartNumberingAfterBreak="0">
    <w:nsid w:val="6FE02AF4"/>
    <w:multiLevelType w:val="multilevel"/>
    <w:tmpl w:val="360CF43A"/>
    <w:lvl w:ilvl="0">
      <w:start w:val="1"/>
      <w:numFmt w:val="decimal"/>
      <w:lvlText w:val="%1"/>
      <w:lvlJc w:val="left"/>
      <w:pPr>
        <w:ind w:left="420" w:hanging="420"/>
      </w:pPr>
      <w:rPr>
        <w:rFonts w:cs="Times New Roman"/>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 w15:restartNumberingAfterBreak="0">
    <w:nsid w:val="72CF3CBA"/>
    <w:multiLevelType w:val="hybridMultilevel"/>
    <w:tmpl w:val="4A4830BA"/>
    <w:lvl w:ilvl="0" w:tplc="1DB6449A">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2"/>
  </w:num>
  <w:num w:numId="7">
    <w:abstractNumId w:val="4"/>
  </w:num>
  <w:num w:numId="8">
    <w:abstractNumId w:val="8"/>
  </w:num>
  <w:num w:numId="9">
    <w:abstractNumId w:val="9"/>
  </w:num>
  <w:num w:numId="10">
    <w:abstractNumId w:val="5"/>
  </w:num>
  <w:num w:numId="11">
    <w:abstractNumId w:val="10"/>
    <w:lvlOverride w:ilvl="0">
      <w:startOverride w:val="3"/>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420"/>
  <w:evenAndOddHeaders/>
  <w:drawingGridVerticalSpacing w:val="19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8E"/>
    <w:rsid w:val="000D227B"/>
    <w:rsid w:val="001128C1"/>
    <w:rsid w:val="001229BF"/>
    <w:rsid w:val="00136D65"/>
    <w:rsid w:val="001B4E76"/>
    <w:rsid w:val="002670E6"/>
    <w:rsid w:val="00286705"/>
    <w:rsid w:val="00286AFB"/>
    <w:rsid w:val="002B34F1"/>
    <w:rsid w:val="002B3F38"/>
    <w:rsid w:val="002D5A8E"/>
    <w:rsid w:val="002E61A7"/>
    <w:rsid w:val="002E740C"/>
    <w:rsid w:val="00302D8E"/>
    <w:rsid w:val="0032361D"/>
    <w:rsid w:val="003271AB"/>
    <w:rsid w:val="003C6161"/>
    <w:rsid w:val="00403FBA"/>
    <w:rsid w:val="0052440F"/>
    <w:rsid w:val="00551D10"/>
    <w:rsid w:val="00573AF0"/>
    <w:rsid w:val="005B5FEC"/>
    <w:rsid w:val="006A0339"/>
    <w:rsid w:val="006A1677"/>
    <w:rsid w:val="006D4782"/>
    <w:rsid w:val="0074651D"/>
    <w:rsid w:val="00783510"/>
    <w:rsid w:val="007A29E0"/>
    <w:rsid w:val="007B3412"/>
    <w:rsid w:val="007D0E07"/>
    <w:rsid w:val="00804557"/>
    <w:rsid w:val="0086046E"/>
    <w:rsid w:val="008A0073"/>
    <w:rsid w:val="008C26DB"/>
    <w:rsid w:val="008D31F1"/>
    <w:rsid w:val="008D555E"/>
    <w:rsid w:val="00937792"/>
    <w:rsid w:val="009825F3"/>
    <w:rsid w:val="009829AD"/>
    <w:rsid w:val="009E44FB"/>
    <w:rsid w:val="009F2CDA"/>
    <w:rsid w:val="00A10A4F"/>
    <w:rsid w:val="00A8363D"/>
    <w:rsid w:val="00AB05C8"/>
    <w:rsid w:val="00AB3E71"/>
    <w:rsid w:val="00AF6450"/>
    <w:rsid w:val="00B67EC4"/>
    <w:rsid w:val="00BA321B"/>
    <w:rsid w:val="00BE5863"/>
    <w:rsid w:val="00C71267"/>
    <w:rsid w:val="00C7206B"/>
    <w:rsid w:val="00C75D08"/>
    <w:rsid w:val="00D0615E"/>
    <w:rsid w:val="00D07E74"/>
    <w:rsid w:val="00D27499"/>
    <w:rsid w:val="00D4546E"/>
    <w:rsid w:val="00DE2FE0"/>
    <w:rsid w:val="00E00D5D"/>
    <w:rsid w:val="00E0761D"/>
    <w:rsid w:val="00E40181"/>
    <w:rsid w:val="00E47350"/>
    <w:rsid w:val="00E81272"/>
    <w:rsid w:val="00F41E3A"/>
    <w:rsid w:val="00F761D7"/>
    <w:rsid w:val="00FA166D"/>
    <w:rsid w:val="00FB3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D5B58"/>
  <w15:docId w15:val="{D83F8F01-3FBB-44F2-8A85-C85B5EAA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2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CDA"/>
    <w:pPr>
      <w:widowControl w:val="0"/>
      <w:jc w:val="both"/>
    </w:pPr>
  </w:style>
  <w:style w:type="paragraph" w:styleId="1">
    <w:name w:val="heading 1"/>
    <w:basedOn w:val="a"/>
    <w:next w:val="a"/>
    <w:link w:val="10"/>
    <w:uiPriority w:val="99"/>
    <w:qFormat/>
    <w:rsid w:val="008A0073"/>
    <w:pPr>
      <w:keepNext/>
      <w:keepLines/>
      <w:spacing w:before="340" w:after="330" w:line="578" w:lineRule="auto"/>
      <w:outlineLvl w:val="0"/>
    </w:pPr>
    <w:rPr>
      <w:rFonts w:eastAsia="黑体"/>
      <w:b/>
      <w:bCs/>
      <w:i/>
      <w:kern w:val="44"/>
      <w:sz w:val="32"/>
      <w:szCs w:val="44"/>
    </w:rPr>
  </w:style>
  <w:style w:type="paragraph" w:styleId="2">
    <w:name w:val="heading 2"/>
    <w:basedOn w:val="a"/>
    <w:next w:val="a"/>
    <w:link w:val="20"/>
    <w:uiPriority w:val="99"/>
    <w:unhideWhenUsed/>
    <w:qFormat/>
    <w:rsid w:val="008D31F1"/>
    <w:pPr>
      <w:keepNext/>
      <w:keepLines/>
      <w:spacing w:before="260" w:after="260" w:line="416" w:lineRule="auto"/>
      <w:jc w:val="center"/>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9"/>
    <w:unhideWhenUsed/>
    <w:qFormat/>
    <w:rsid w:val="003C6161"/>
    <w:pPr>
      <w:keepNext/>
      <w:keepLines/>
      <w:ind w:firstLineChars="200" w:firstLine="200"/>
      <w:outlineLvl w:val="2"/>
    </w:pPr>
    <w:rPr>
      <w:b/>
      <w:bCs/>
      <w:szCs w:val="32"/>
    </w:rPr>
  </w:style>
  <w:style w:type="paragraph" w:styleId="4">
    <w:name w:val="heading 4"/>
    <w:basedOn w:val="a"/>
    <w:next w:val="a"/>
    <w:link w:val="40"/>
    <w:uiPriority w:val="99"/>
    <w:unhideWhenUsed/>
    <w:qFormat/>
    <w:rsid w:val="00573AF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9"/>
    <w:qFormat/>
    <w:rsid w:val="0032361D"/>
    <w:pPr>
      <w:keepNext/>
      <w:keepLines/>
      <w:spacing w:before="280" w:after="290" w:line="376" w:lineRule="auto"/>
      <w:outlineLvl w:val="4"/>
    </w:pPr>
    <w:rPr>
      <w:rFonts w:cs="Times New Roman"/>
      <w:b/>
      <w:bCs/>
      <w:kern w:val="0"/>
      <w:sz w:val="28"/>
      <w:szCs w:val="28"/>
    </w:rPr>
  </w:style>
  <w:style w:type="paragraph" w:styleId="6">
    <w:name w:val="heading 6"/>
    <w:basedOn w:val="a"/>
    <w:next w:val="a"/>
    <w:link w:val="60"/>
    <w:uiPriority w:val="99"/>
    <w:qFormat/>
    <w:rsid w:val="0032361D"/>
    <w:pPr>
      <w:keepNext/>
      <w:keepLines/>
      <w:spacing w:before="240" w:after="64" w:line="320" w:lineRule="auto"/>
      <w:outlineLvl w:val="5"/>
    </w:pPr>
    <w:rPr>
      <w:rFonts w:ascii="Cambria" w:hAnsi="Cambria" w:cs="Times New Roman"/>
      <w:b/>
      <w:bCs/>
      <w:kern w:val="0"/>
      <w:sz w:val="24"/>
      <w:szCs w:val="24"/>
    </w:rPr>
  </w:style>
  <w:style w:type="paragraph" w:styleId="7">
    <w:name w:val="heading 7"/>
    <w:basedOn w:val="a"/>
    <w:next w:val="a"/>
    <w:link w:val="70"/>
    <w:uiPriority w:val="99"/>
    <w:qFormat/>
    <w:rsid w:val="0032361D"/>
    <w:pPr>
      <w:keepNext/>
      <w:keepLines/>
      <w:spacing w:before="240" w:after="64" w:line="320" w:lineRule="auto"/>
      <w:outlineLvl w:val="6"/>
    </w:pPr>
    <w:rPr>
      <w:rFonts w:cs="Times New Roman"/>
      <w:b/>
      <w:bCs/>
      <w:kern w:val="0"/>
      <w:sz w:val="24"/>
      <w:szCs w:val="24"/>
    </w:rPr>
  </w:style>
  <w:style w:type="paragraph" w:styleId="8">
    <w:name w:val="heading 8"/>
    <w:basedOn w:val="a"/>
    <w:next w:val="a"/>
    <w:link w:val="80"/>
    <w:uiPriority w:val="99"/>
    <w:qFormat/>
    <w:rsid w:val="0032361D"/>
    <w:pPr>
      <w:keepNext/>
      <w:keepLines/>
      <w:spacing w:before="240" w:after="64" w:line="320" w:lineRule="auto"/>
      <w:outlineLvl w:val="7"/>
    </w:pPr>
    <w:rPr>
      <w:rFonts w:ascii="Cambria" w:hAnsi="Cambria" w:cs="Times New Roman"/>
      <w:kern w:val="0"/>
      <w:sz w:val="24"/>
      <w:szCs w:val="24"/>
    </w:rPr>
  </w:style>
  <w:style w:type="paragraph" w:styleId="9">
    <w:name w:val="heading 9"/>
    <w:basedOn w:val="a"/>
    <w:next w:val="a"/>
    <w:link w:val="90"/>
    <w:uiPriority w:val="99"/>
    <w:qFormat/>
    <w:rsid w:val="0032361D"/>
    <w:pPr>
      <w:keepNext/>
      <w:keepLines/>
      <w:spacing w:before="240" w:after="64" w:line="320" w:lineRule="auto"/>
      <w:outlineLvl w:val="8"/>
    </w:pPr>
    <w:rPr>
      <w:rFonts w:ascii="Cambria"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sid w:val="008A0073"/>
    <w:rPr>
      <w:rFonts w:eastAsia="黑体"/>
      <w:b/>
      <w:bCs/>
      <w:i/>
      <w:kern w:val="44"/>
      <w:sz w:val="32"/>
      <w:szCs w:val="44"/>
    </w:rPr>
  </w:style>
  <w:style w:type="character" w:customStyle="1" w:styleId="20">
    <w:name w:val="标题 2 字符"/>
    <w:basedOn w:val="a0"/>
    <w:link w:val="2"/>
    <w:uiPriority w:val="99"/>
    <w:rsid w:val="008D31F1"/>
    <w:rPr>
      <w:rFonts w:asciiTheme="majorHAnsi" w:eastAsiaTheme="majorEastAsia" w:hAnsiTheme="majorHAnsi" w:cstheme="majorBidi"/>
      <w:b/>
      <w:bCs/>
      <w:sz w:val="32"/>
      <w:szCs w:val="32"/>
    </w:rPr>
  </w:style>
  <w:style w:type="character" w:customStyle="1" w:styleId="30">
    <w:name w:val="标题 3 字符"/>
    <w:basedOn w:val="a0"/>
    <w:link w:val="3"/>
    <w:uiPriority w:val="99"/>
    <w:rsid w:val="003C6161"/>
    <w:rPr>
      <w:b/>
      <w:bCs/>
      <w:szCs w:val="32"/>
    </w:rPr>
  </w:style>
  <w:style w:type="character" w:customStyle="1" w:styleId="40">
    <w:name w:val="标题 4 字符"/>
    <w:basedOn w:val="a0"/>
    <w:link w:val="4"/>
    <w:uiPriority w:val="99"/>
    <w:rsid w:val="00573AF0"/>
    <w:rPr>
      <w:rFonts w:asciiTheme="majorHAnsi" w:eastAsiaTheme="majorEastAsia" w:hAnsiTheme="majorHAnsi" w:cstheme="majorBidi"/>
      <w:b/>
      <w:bCs/>
      <w:sz w:val="28"/>
      <w:szCs w:val="28"/>
    </w:rPr>
  </w:style>
  <w:style w:type="character" w:customStyle="1" w:styleId="50">
    <w:name w:val="标题 5 字符"/>
    <w:basedOn w:val="a0"/>
    <w:link w:val="5"/>
    <w:uiPriority w:val="99"/>
    <w:rsid w:val="0032361D"/>
    <w:rPr>
      <w:rFonts w:cs="Times New Roman"/>
      <w:b/>
      <w:bCs/>
      <w:kern w:val="0"/>
      <w:sz w:val="28"/>
      <w:szCs w:val="28"/>
    </w:rPr>
  </w:style>
  <w:style w:type="character" w:customStyle="1" w:styleId="60">
    <w:name w:val="标题 6 字符"/>
    <w:basedOn w:val="a0"/>
    <w:link w:val="6"/>
    <w:uiPriority w:val="99"/>
    <w:rsid w:val="0032361D"/>
    <w:rPr>
      <w:rFonts w:ascii="Cambria" w:hAnsi="Cambria" w:cs="Times New Roman"/>
      <w:b/>
      <w:bCs/>
      <w:kern w:val="0"/>
      <w:sz w:val="24"/>
      <w:szCs w:val="24"/>
    </w:rPr>
  </w:style>
  <w:style w:type="character" w:customStyle="1" w:styleId="70">
    <w:name w:val="标题 7 字符"/>
    <w:basedOn w:val="a0"/>
    <w:link w:val="7"/>
    <w:uiPriority w:val="99"/>
    <w:rsid w:val="0032361D"/>
    <w:rPr>
      <w:rFonts w:cs="Times New Roman"/>
      <w:b/>
      <w:bCs/>
      <w:kern w:val="0"/>
      <w:sz w:val="24"/>
      <w:szCs w:val="24"/>
    </w:rPr>
  </w:style>
  <w:style w:type="character" w:customStyle="1" w:styleId="80">
    <w:name w:val="标题 8 字符"/>
    <w:basedOn w:val="a0"/>
    <w:link w:val="8"/>
    <w:uiPriority w:val="99"/>
    <w:rsid w:val="0032361D"/>
    <w:rPr>
      <w:rFonts w:ascii="Cambria" w:hAnsi="Cambria" w:cs="Times New Roman"/>
      <w:kern w:val="0"/>
      <w:sz w:val="24"/>
      <w:szCs w:val="24"/>
    </w:rPr>
  </w:style>
  <w:style w:type="character" w:customStyle="1" w:styleId="90">
    <w:name w:val="标题 9 字符"/>
    <w:basedOn w:val="a0"/>
    <w:link w:val="9"/>
    <w:uiPriority w:val="99"/>
    <w:rsid w:val="0032361D"/>
    <w:rPr>
      <w:rFonts w:ascii="Cambria" w:hAnsi="Cambria" w:cs="Times New Roman"/>
      <w:kern w:val="0"/>
      <w:sz w:val="20"/>
      <w:szCs w:val="20"/>
    </w:rPr>
  </w:style>
  <w:style w:type="paragraph" w:customStyle="1" w:styleId="a3">
    <w:name w:val="！作者"/>
    <w:basedOn w:val="a"/>
    <w:next w:val="a"/>
    <w:qFormat/>
    <w:rsid w:val="008D31F1"/>
    <w:pPr>
      <w:jc w:val="center"/>
    </w:pPr>
    <w:rPr>
      <w:b/>
      <w:sz w:val="28"/>
    </w:rPr>
  </w:style>
  <w:style w:type="paragraph" w:customStyle="1" w:styleId="a4">
    <w:name w:val="！正文"/>
    <w:basedOn w:val="a"/>
    <w:qFormat/>
    <w:rsid w:val="003C6161"/>
    <w:pPr>
      <w:ind w:firstLineChars="200" w:firstLine="200"/>
    </w:pPr>
  </w:style>
  <w:style w:type="table" w:styleId="a5">
    <w:name w:val="Light Shading"/>
    <w:basedOn w:val="a1"/>
    <w:uiPriority w:val="99"/>
    <w:rsid w:val="009F2CD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6">
    <w:name w:val="Table Grid"/>
    <w:basedOn w:val="a1"/>
    <w:uiPriority w:val="99"/>
    <w:rsid w:val="009F2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三线格"/>
    <w:basedOn w:val="a1"/>
    <w:uiPriority w:val="99"/>
    <w:rsid w:val="009F2CDA"/>
    <w:pPr>
      <w:jc w:val="center"/>
    </w:pPr>
    <w:tblPr>
      <w:jc w:val="center"/>
      <w:tblBorders>
        <w:top w:val="single" w:sz="4" w:space="0" w:color="auto"/>
        <w:bottom w:val="single" w:sz="4" w:space="0" w:color="auto"/>
      </w:tblBorders>
    </w:tblPr>
    <w:trPr>
      <w:jc w:val="center"/>
    </w:trPr>
    <w:tcPr>
      <w:vAlign w:val="center"/>
    </w:tcPr>
    <w:tblStylePr w:type="firstRow">
      <w:rPr>
        <w:rFonts w:eastAsia="宋体"/>
        <w:b/>
        <w:sz w:val="21"/>
      </w:rPr>
      <w:tblPr/>
      <w:tcPr>
        <w:tcBorders>
          <w:bottom w:val="single" w:sz="4" w:space="0" w:color="auto"/>
        </w:tcBorders>
      </w:tcPr>
    </w:tblStylePr>
    <w:tblStylePr w:type="lastRow">
      <w:rPr>
        <w:rFonts w:eastAsia="宋体"/>
        <w:sz w:val="21"/>
      </w:rPr>
    </w:tblStylePr>
    <w:tblStylePr w:type="firstCol">
      <w:rPr>
        <w:rFonts w:eastAsia="宋体"/>
        <w:sz w:val="21"/>
      </w:rPr>
    </w:tblStylePr>
  </w:style>
  <w:style w:type="paragraph" w:styleId="a8">
    <w:name w:val="caption"/>
    <w:basedOn w:val="a"/>
    <w:next w:val="a"/>
    <w:uiPriority w:val="7"/>
    <w:unhideWhenUsed/>
    <w:qFormat/>
    <w:rsid w:val="009F2CDA"/>
    <w:pPr>
      <w:keepNext/>
      <w:spacing w:beforeLines="50" w:before="50"/>
      <w:jc w:val="center"/>
    </w:pPr>
    <w:rPr>
      <w:rFonts w:asciiTheme="majorHAnsi" w:eastAsia="黑体" w:hAnsiTheme="majorHAnsi" w:cstheme="majorBidi"/>
      <w:sz w:val="20"/>
      <w:szCs w:val="20"/>
    </w:rPr>
  </w:style>
  <w:style w:type="paragraph" w:customStyle="1" w:styleId="a9">
    <w:name w:val="！参考文献"/>
    <w:basedOn w:val="a"/>
    <w:uiPriority w:val="99"/>
    <w:rsid w:val="00573AF0"/>
    <w:pPr>
      <w:ind w:hangingChars="200" w:hanging="200"/>
    </w:pPr>
  </w:style>
  <w:style w:type="paragraph" w:styleId="11">
    <w:name w:val="toc 1"/>
    <w:basedOn w:val="a"/>
    <w:next w:val="a"/>
    <w:autoRedefine/>
    <w:uiPriority w:val="39"/>
    <w:unhideWhenUsed/>
    <w:rsid w:val="0086046E"/>
  </w:style>
  <w:style w:type="paragraph" w:styleId="21">
    <w:name w:val="toc 2"/>
    <w:basedOn w:val="a"/>
    <w:next w:val="a"/>
    <w:autoRedefine/>
    <w:uiPriority w:val="39"/>
    <w:unhideWhenUsed/>
    <w:rsid w:val="0086046E"/>
    <w:pPr>
      <w:ind w:leftChars="200" w:left="420"/>
    </w:pPr>
  </w:style>
  <w:style w:type="paragraph" w:styleId="31">
    <w:name w:val="toc 3"/>
    <w:basedOn w:val="a"/>
    <w:next w:val="a"/>
    <w:autoRedefine/>
    <w:uiPriority w:val="99"/>
    <w:unhideWhenUsed/>
    <w:rsid w:val="0086046E"/>
    <w:pPr>
      <w:ind w:leftChars="400" w:left="840"/>
    </w:pPr>
  </w:style>
  <w:style w:type="character" w:styleId="aa">
    <w:name w:val="Hyperlink"/>
    <w:basedOn w:val="a0"/>
    <w:uiPriority w:val="99"/>
    <w:unhideWhenUsed/>
    <w:rsid w:val="0086046E"/>
    <w:rPr>
      <w:color w:val="0000FF" w:themeColor="hyperlink"/>
      <w:u w:val="single"/>
    </w:rPr>
  </w:style>
  <w:style w:type="paragraph" w:styleId="ab">
    <w:name w:val="header"/>
    <w:basedOn w:val="a"/>
    <w:link w:val="ac"/>
    <w:uiPriority w:val="99"/>
    <w:unhideWhenUsed/>
    <w:rsid w:val="00D2749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D27499"/>
    <w:rPr>
      <w:sz w:val="18"/>
      <w:szCs w:val="18"/>
    </w:rPr>
  </w:style>
  <w:style w:type="paragraph" w:styleId="ad">
    <w:name w:val="footer"/>
    <w:basedOn w:val="a"/>
    <w:link w:val="ae"/>
    <w:uiPriority w:val="99"/>
    <w:unhideWhenUsed/>
    <w:rsid w:val="00D27499"/>
    <w:pPr>
      <w:tabs>
        <w:tab w:val="center" w:pos="4153"/>
        <w:tab w:val="right" w:pos="8306"/>
      </w:tabs>
      <w:snapToGrid w:val="0"/>
      <w:jc w:val="left"/>
    </w:pPr>
    <w:rPr>
      <w:sz w:val="18"/>
      <w:szCs w:val="18"/>
    </w:rPr>
  </w:style>
  <w:style w:type="character" w:customStyle="1" w:styleId="ae">
    <w:name w:val="页脚 字符"/>
    <w:basedOn w:val="a0"/>
    <w:link w:val="ad"/>
    <w:uiPriority w:val="99"/>
    <w:rsid w:val="00D27499"/>
    <w:rPr>
      <w:sz w:val="18"/>
      <w:szCs w:val="18"/>
    </w:rPr>
  </w:style>
  <w:style w:type="paragraph" w:styleId="af">
    <w:name w:val="Balloon Text"/>
    <w:basedOn w:val="a"/>
    <w:link w:val="af0"/>
    <w:uiPriority w:val="99"/>
    <w:semiHidden/>
    <w:unhideWhenUsed/>
    <w:rsid w:val="00BA321B"/>
    <w:rPr>
      <w:sz w:val="18"/>
      <w:szCs w:val="18"/>
    </w:rPr>
  </w:style>
  <w:style w:type="character" w:customStyle="1" w:styleId="af0">
    <w:name w:val="批注框文本 字符"/>
    <w:basedOn w:val="a0"/>
    <w:link w:val="af"/>
    <w:uiPriority w:val="99"/>
    <w:semiHidden/>
    <w:rsid w:val="00BA321B"/>
    <w:rPr>
      <w:sz w:val="18"/>
      <w:szCs w:val="18"/>
    </w:rPr>
  </w:style>
  <w:style w:type="character" w:styleId="af1">
    <w:name w:val="Emphasis"/>
    <w:basedOn w:val="a0"/>
    <w:uiPriority w:val="99"/>
    <w:qFormat/>
    <w:rsid w:val="002B34F1"/>
    <w:rPr>
      <w:i/>
      <w:iCs/>
    </w:rPr>
  </w:style>
  <w:style w:type="paragraph" w:styleId="af2">
    <w:name w:val="List Paragraph"/>
    <w:basedOn w:val="a"/>
    <w:uiPriority w:val="99"/>
    <w:qFormat/>
    <w:rsid w:val="005B5FEC"/>
    <w:pPr>
      <w:ind w:firstLineChars="200" w:firstLine="420"/>
    </w:pPr>
    <w:rPr>
      <w:rFonts w:asciiTheme="minorHAnsi" w:eastAsiaTheme="minorEastAsia" w:hAnsiTheme="minorHAnsi"/>
      <w:szCs w:val="22"/>
    </w:rPr>
  </w:style>
  <w:style w:type="character" w:styleId="af3">
    <w:name w:val="Strong"/>
    <w:qFormat/>
    <w:rsid w:val="00FA166D"/>
    <w:rPr>
      <w:b/>
    </w:rPr>
  </w:style>
  <w:style w:type="paragraph" w:customStyle="1" w:styleId="Default">
    <w:name w:val="Default"/>
    <w:uiPriority w:val="99"/>
    <w:rsid w:val="009825F3"/>
    <w:pPr>
      <w:widowControl w:val="0"/>
      <w:autoSpaceDE w:val="0"/>
      <w:autoSpaceDN w:val="0"/>
      <w:adjustRightInd w:val="0"/>
    </w:pPr>
    <w:rPr>
      <w:rFonts w:ascii="宋体" w:cs="宋体"/>
      <w:color w:val="000000"/>
      <w:kern w:val="0"/>
      <w:sz w:val="24"/>
      <w:szCs w:val="24"/>
    </w:rPr>
  </w:style>
  <w:style w:type="paragraph" w:styleId="af4">
    <w:name w:val="Normal (Web)"/>
    <w:basedOn w:val="a"/>
    <w:uiPriority w:val="99"/>
    <w:rsid w:val="0032361D"/>
    <w:pPr>
      <w:widowControl/>
      <w:spacing w:before="100" w:beforeAutospacing="1" w:after="100" w:afterAutospacing="1"/>
      <w:jc w:val="left"/>
    </w:pPr>
    <w:rPr>
      <w:rFonts w:ascii="宋体" w:hAnsi="宋体" w:cs="宋体"/>
      <w:kern w:val="0"/>
      <w:sz w:val="24"/>
      <w:szCs w:val="24"/>
    </w:rPr>
  </w:style>
  <w:style w:type="character" w:customStyle="1" w:styleId="af5">
    <w:name w:val="尾注文本 字符"/>
    <w:basedOn w:val="a0"/>
    <w:link w:val="af6"/>
    <w:uiPriority w:val="99"/>
    <w:semiHidden/>
    <w:rsid w:val="0032361D"/>
    <w:rPr>
      <w:rFonts w:cs="Times New Roman"/>
      <w:kern w:val="0"/>
      <w:sz w:val="24"/>
      <w:szCs w:val="24"/>
    </w:rPr>
  </w:style>
  <w:style w:type="paragraph" w:styleId="af6">
    <w:name w:val="endnote text"/>
    <w:basedOn w:val="a"/>
    <w:link w:val="af5"/>
    <w:uiPriority w:val="99"/>
    <w:semiHidden/>
    <w:rsid w:val="0032361D"/>
    <w:pPr>
      <w:snapToGrid w:val="0"/>
      <w:jc w:val="left"/>
    </w:pPr>
    <w:rPr>
      <w:rFonts w:cs="Times New Roman"/>
      <w:kern w:val="0"/>
      <w:sz w:val="24"/>
      <w:szCs w:val="24"/>
    </w:rPr>
  </w:style>
  <w:style w:type="character" w:customStyle="1" w:styleId="af7">
    <w:name w:val="正文文本缩进 字符"/>
    <w:basedOn w:val="a0"/>
    <w:link w:val="af8"/>
    <w:uiPriority w:val="99"/>
    <w:semiHidden/>
    <w:rsid w:val="0032361D"/>
    <w:rPr>
      <w:rFonts w:cs="Times New Roman"/>
      <w:kern w:val="0"/>
      <w:sz w:val="20"/>
      <w:szCs w:val="20"/>
    </w:rPr>
  </w:style>
  <w:style w:type="paragraph" w:styleId="af8">
    <w:name w:val="Body Text Indent"/>
    <w:basedOn w:val="a"/>
    <w:link w:val="af7"/>
    <w:uiPriority w:val="99"/>
    <w:semiHidden/>
    <w:rsid w:val="0032361D"/>
    <w:pPr>
      <w:spacing w:after="120"/>
      <w:ind w:leftChars="200" w:left="420"/>
    </w:pPr>
    <w:rPr>
      <w:rFonts w:cs="Times New Roman"/>
      <w:kern w:val="0"/>
      <w:sz w:val="20"/>
      <w:szCs w:val="20"/>
    </w:rPr>
  </w:style>
  <w:style w:type="character" w:customStyle="1" w:styleId="1Char">
    <w:name w:val="样式1 Char"/>
    <w:link w:val="12"/>
    <w:uiPriority w:val="99"/>
    <w:locked/>
    <w:rsid w:val="0032361D"/>
    <w:rPr>
      <w:b/>
      <w:sz w:val="28"/>
    </w:rPr>
  </w:style>
  <w:style w:type="paragraph" w:customStyle="1" w:styleId="12">
    <w:name w:val="样式1"/>
    <w:basedOn w:val="a"/>
    <w:link w:val="1Char"/>
    <w:uiPriority w:val="99"/>
    <w:rsid w:val="0032361D"/>
    <w:pPr>
      <w:spacing w:before="120" w:after="120"/>
    </w:pPr>
    <w:rPr>
      <w:b/>
      <w:sz w:val="28"/>
    </w:rPr>
  </w:style>
  <w:style w:type="character" w:customStyle="1" w:styleId="af9">
    <w:name w:val="批注文字 字符"/>
    <w:basedOn w:val="a0"/>
    <w:link w:val="afa"/>
    <w:uiPriority w:val="99"/>
    <w:semiHidden/>
    <w:rsid w:val="0032361D"/>
    <w:rPr>
      <w:rFonts w:cs="Times New Roman"/>
    </w:rPr>
  </w:style>
  <w:style w:type="paragraph" w:styleId="afa">
    <w:name w:val="annotation text"/>
    <w:basedOn w:val="a"/>
    <w:link w:val="af9"/>
    <w:uiPriority w:val="99"/>
    <w:semiHidden/>
    <w:unhideWhenUsed/>
    <w:rsid w:val="0032361D"/>
    <w:pPr>
      <w:jc w:val="left"/>
    </w:pPr>
    <w:rPr>
      <w:rFonts w:cs="Times New Roman"/>
    </w:rPr>
  </w:style>
  <w:style w:type="character" w:customStyle="1" w:styleId="afb">
    <w:name w:val="批注主题 字符"/>
    <w:basedOn w:val="af9"/>
    <w:link w:val="afc"/>
    <w:uiPriority w:val="99"/>
    <w:semiHidden/>
    <w:rsid w:val="0032361D"/>
    <w:rPr>
      <w:rFonts w:cs="Times New Roman"/>
      <w:b/>
      <w:bCs/>
    </w:rPr>
  </w:style>
  <w:style w:type="paragraph" w:styleId="afc">
    <w:name w:val="annotation subject"/>
    <w:basedOn w:val="afa"/>
    <w:next w:val="afa"/>
    <w:link w:val="afb"/>
    <w:uiPriority w:val="99"/>
    <w:semiHidden/>
    <w:unhideWhenUsed/>
    <w:rsid w:val="0032361D"/>
    <w:rPr>
      <w:b/>
      <w:bCs/>
    </w:rPr>
  </w:style>
  <w:style w:type="paragraph" w:customStyle="1" w:styleId="msonormal0">
    <w:name w:val="msonormal"/>
    <w:basedOn w:val="a"/>
    <w:rsid w:val="0032361D"/>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32361D"/>
    <w:pPr>
      <w:widowControl/>
      <w:spacing w:before="100" w:beforeAutospacing="1" w:after="100" w:afterAutospacing="1"/>
      <w:jc w:val="left"/>
    </w:pPr>
    <w:rPr>
      <w:rFonts w:ascii="等线" w:eastAsia="等线" w:hAnsi="等线" w:cs="宋体"/>
      <w:kern w:val="0"/>
      <w:sz w:val="18"/>
      <w:szCs w:val="18"/>
    </w:rPr>
  </w:style>
  <w:style w:type="paragraph" w:customStyle="1" w:styleId="xl63">
    <w:name w:val="xl63"/>
    <w:basedOn w:val="a"/>
    <w:rsid w:val="0032361D"/>
    <w:pPr>
      <w:widowControl/>
      <w:spacing w:before="100" w:beforeAutospacing="1" w:after="100" w:afterAutospacing="1"/>
      <w:jc w:val="left"/>
    </w:pPr>
    <w:rPr>
      <w:rFonts w:ascii="宋体" w:hAnsi="宋体" w:cs="宋体"/>
      <w:kern w:val="0"/>
      <w:sz w:val="20"/>
      <w:szCs w:val="20"/>
    </w:rPr>
  </w:style>
  <w:style w:type="paragraph" w:customStyle="1" w:styleId="xl64">
    <w:name w:val="xl64"/>
    <w:basedOn w:val="a"/>
    <w:rsid w:val="0032361D"/>
    <w:pPr>
      <w:widowControl/>
      <w:spacing w:before="100" w:beforeAutospacing="1" w:after="100" w:afterAutospacing="1"/>
      <w:jc w:val="left"/>
    </w:pPr>
    <w:rPr>
      <w:rFonts w:ascii="宋体" w:hAnsi="宋体" w:cs="宋体"/>
      <w:b/>
      <w:bCs/>
      <w:kern w:val="0"/>
      <w:sz w:val="20"/>
      <w:szCs w:val="20"/>
    </w:rPr>
  </w:style>
  <w:style w:type="paragraph" w:styleId="afd">
    <w:name w:val="Body Text"/>
    <w:basedOn w:val="a"/>
    <w:link w:val="afe"/>
    <w:uiPriority w:val="99"/>
    <w:unhideWhenUsed/>
    <w:rsid w:val="00E40181"/>
    <w:pPr>
      <w:spacing w:after="120"/>
    </w:pPr>
  </w:style>
  <w:style w:type="character" w:customStyle="1" w:styleId="afe">
    <w:name w:val="正文文本 字符"/>
    <w:basedOn w:val="a0"/>
    <w:link w:val="afd"/>
    <w:uiPriority w:val="99"/>
    <w:rsid w:val="00E40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952121">
      <w:bodyDiv w:val="1"/>
      <w:marLeft w:val="0"/>
      <w:marRight w:val="0"/>
      <w:marTop w:val="0"/>
      <w:marBottom w:val="0"/>
      <w:divBdr>
        <w:top w:val="none" w:sz="0" w:space="0" w:color="auto"/>
        <w:left w:val="none" w:sz="0" w:space="0" w:color="auto"/>
        <w:bottom w:val="none" w:sz="0" w:space="0" w:color="auto"/>
        <w:right w:val="none" w:sz="0" w:space="0" w:color="auto"/>
      </w:divBdr>
    </w:div>
    <w:div w:id="925844414">
      <w:bodyDiv w:val="1"/>
      <w:marLeft w:val="0"/>
      <w:marRight w:val="0"/>
      <w:marTop w:val="0"/>
      <w:marBottom w:val="0"/>
      <w:divBdr>
        <w:top w:val="none" w:sz="0" w:space="0" w:color="auto"/>
        <w:left w:val="none" w:sz="0" w:space="0" w:color="auto"/>
        <w:bottom w:val="none" w:sz="0" w:space="0" w:color="auto"/>
        <w:right w:val="none" w:sz="0" w:space="0" w:color="auto"/>
      </w:divBdr>
    </w:div>
    <w:div w:id="1385905140">
      <w:bodyDiv w:val="1"/>
      <w:marLeft w:val="0"/>
      <w:marRight w:val="0"/>
      <w:marTop w:val="0"/>
      <w:marBottom w:val="0"/>
      <w:divBdr>
        <w:top w:val="none" w:sz="0" w:space="0" w:color="auto"/>
        <w:left w:val="none" w:sz="0" w:space="0" w:color="auto"/>
        <w:bottom w:val="none" w:sz="0" w:space="0" w:color="auto"/>
        <w:right w:val="none" w:sz="0" w:space="0" w:color="auto"/>
      </w:divBdr>
    </w:div>
    <w:div w:id="1515924813">
      <w:bodyDiv w:val="1"/>
      <w:marLeft w:val="0"/>
      <w:marRight w:val="0"/>
      <w:marTop w:val="0"/>
      <w:marBottom w:val="0"/>
      <w:divBdr>
        <w:top w:val="none" w:sz="0" w:space="0" w:color="auto"/>
        <w:left w:val="none" w:sz="0" w:space="0" w:color="auto"/>
        <w:bottom w:val="none" w:sz="0" w:space="0" w:color="auto"/>
        <w:right w:val="none" w:sz="0" w:space="0" w:color="auto"/>
      </w:divBdr>
    </w:div>
    <w:div w:id="203430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ata\06&#33647;&#23398;&#36890;&#35759;\&#12298;&#33647;&#23398;&#36890;&#35759;&#12299;&#30005;&#23376;&#29256;&#27169;&#26495;.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r-Li\Desktop\&#35770;&#25991;&#22270;&#34920;5.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r-Li\Desktop\&#35770;&#25991;&#22270;&#34920;5.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r-Li\Desktop\&#35770;&#25991;&#22270;&#34920;5.1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r-Li\Desktop\&#35770;&#25991;&#22270;&#34920;5.1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lang="zh-CN" altLang="en-US" sz="1000" b="0" i="0" u="none" strike="noStrike" kern="1200" baseline="0">
                <a:solidFill>
                  <a:sysClr val="windowText" lastClr="000000"/>
                </a:solidFill>
                <a:latin typeface="+mn-lt"/>
                <a:ea typeface="+mn-ea"/>
                <a:cs typeface="+mn-cs"/>
              </a:defRPr>
            </a:pPr>
            <a:r>
              <a:rPr lang="zh-CN" altLang="en-US" sz="1000" b="0" i="0" u="none" strike="noStrike" kern="1200" baseline="0">
                <a:solidFill>
                  <a:sysClr val="windowText" lastClr="000000"/>
                </a:solidFill>
                <a:latin typeface="+mn-lt"/>
                <a:ea typeface="+mn-ea"/>
                <a:cs typeface="+mn-cs"/>
              </a:rPr>
              <a:t>苦度值</a:t>
            </a:r>
          </a:p>
        </c:rich>
      </c:tx>
      <c:layout>
        <c:manualLayout>
          <c:xMode val="edge"/>
          <c:yMode val="edge"/>
          <c:x val="0.4027181249785971"/>
          <c:y val="1.7108639863130881E-2"/>
        </c:manualLayout>
      </c:layout>
      <c:overlay val="0"/>
    </c:title>
    <c:autoTitleDeleted val="0"/>
    <c:plotArea>
      <c:layout>
        <c:manualLayout>
          <c:layoutTarget val="inner"/>
          <c:xMode val="edge"/>
          <c:yMode val="edge"/>
          <c:x val="0.15208675649030562"/>
          <c:y val="7.6007177751235444E-2"/>
          <c:w val="0.76436023622047244"/>
          <c:h val="0.78948508503295456"/>
        </c:manualLayout>
      </c:layout>
      <c:barChart>
        <c:barDir val="col"/>
        <c:grouping val="clustered"/>
        <c:varyColors val="0"/>
        <c:ser>
          <c:idx val="0"/>
          <c:order val="0"/>
          <c:tx>
            <c:strRef>
              <c:f>[2]Sheet2!$C$16</c:f>
              <c:strCache>
                <c:ptCount val="1"/>
                <c:pt idx="0">
                  <c:v>苦度值</c:v>
                </c:pt>
              </c:strCache>
            </c:strRef>
          </c:tx>
          <c:spPr>
            <a:solidFill>
              <a:schemeClr val="bg2">
                <a:lumMod val="50000"/>
              </a:schemeClr>
            </a:solidFill>
            <a:ln>
              <a:solidFill>
                <a:schemeClr val="bg2">
                  <a:lumMod val="25000"/>
                </a:schemeClr>
              </a:solidFill>
            </a:ln>
          </c:spPr>
          <c:invertIfNegative val="0"/>
          <c:errBars>
            <c:errBarType val="plus"/>
            <c:errValType val="cust"/>
            <c:noEndCap val="0"/>
            <c:plus>
              <c:numLit>
                <c:formatCode>General</c:formatCode>
                <c:ptCount val="1"/>
                <c:pt idx="0">
                  <c:v>1</c:v>
                </c:pt>
              </c:numLit>
            </c:plus>
            <c:minus>
              <c:numLit>
                <c:formatCode>General</c:formatCode>
                <c:ptCount val="1"/>
                <c:pt idx="0">
                  <c:v>1</c:v>
                </c:pt>
              </c:numLit>
            </c:minus>
          </c:errBars>
          <c:cat>
            <c:strRef>
              <c:f>[2]Sheet2!$B$17:$B$25</c:f>
              <c:strCache>
                <c:ptCount val="9"/>
                <c:pt idx="0">
                  <c:v>S1</c:v>
                </c:pt>
                <c:pt idx="1">
                  <c:v>S2</c:v>
                </c:pt>
                <c:pt idx="2">
                  <c:v>S3</c:v>
                </c:pt>
                <c:pt idx="3">
                  <c:v>S4</c:v>
                </c:pt>
                <c:pt idx="4">
                  <c:v>S5</c:v>
                </c:pt>
                <c:pt idx="5">
                  <c:v>S6</c:v>
                </c:pt>
                <c:pt idx="6">
                  <c:v>S7</c:v>
                </c:pt>
                <c:pt idx="7">
                  <c:v>S8</c:v>
                </c:pt>
                <c:pt idx="8">
                  <c:v>S9</c:v>
                </c:pt>
              </c:strCache>
            </c:strRef>
          </c:cat>
          <c:val>
            <c:numRef>
              <c:f>[2]Sheet2!$C$17:$C$25</c:f>
              <c:numCache>
                <c:formatCode>General</c:formatCode>
                <c:ptCount val="9"/>
                <c:pt idx="0">
                  <c:v>2.4500000000000002</c:v>
                </c:pt>
                <c:pt idx="1">
                  <c:v>2.4300000000000002</c:v>
                </c:pt>
                <c:pt idx="2">
                  <c:v>2.34</c:v>
                </c:pt>
                <c:pt idx="3">
                  <c:v>2.2000000000000002</c:v>
                </c:pt>
                <c:pt idx="4">
                  <c:v>2.29</c:v>
                </c:pt>
                <c:pt idx="5">
                  <c:v>2.31</c:v>
                </c:pt>
                <c:pt idx="6">
                  <c:v>2.23</c:v>
                </c:pt>
                <c:pt idx="7">
                  <c:v>2.68</c:v>
                </c:pt>
                <c:pt idx="8">
                  <c:v>2.19</c:v>
                </c:pt>
              </c:numCache>
            </c:numRef>
          </c:val>
          <c:extLst>
            <c:ext xmlns:c16="http://schemas.microsoft.com/office/drawing/2014/chart" uri="{C3380CC4-5D6E-409C-BE32-E72D297353CC}">
              <c16:uniqueId val="{00000000-43FB-43E2-85B9-C0454D5FD734}"/>
            </c:ext>
          </c:extLst>
        </c:ser>
        <c:dLbls>
          <c:showLegendKey val="0"/>
          <c:showVal val="0"/>
          <c:showCatName val="0"/>
          <c:showSerName val="0"/>
          <c:showPercent val="0"/>
          <c:showBubbleSize val="0"/>
        </c:dLbls>
        <c:gapWidth val="150"/>
        <c:axId val="417686272"/>
        <c:axId val="417687808"/>
      </c:barChart>
      <c:catAx>
        <c:axId val="417686272"/>
        <c:scaling>
          <c:orientation val="minMax"/>
        </c:scaling>
        <c:delete val="0"/>
        <c:axPos val="b"/>
        <c:numFmt formatCode="General" sourceLinked="0"/>
        <c:majorTickMark val="out"/>
        <c:minorTickMark val="none"/>
        <c:tickLblPos val="nextTo"/>
        <c:crossAx val="417687808"/>
        <c:crosses val="autoZero"/>
        <c:auto val="1"/>
        <c:lblAlgn val="ctr"/>
        <c:lblOffset val="100"/>
        <c:noMultiLvlLbl val="0"/>
      </c:catAx>
      <c:valAx>
        <c:axId val="417687808"/>
        <c:scaling>
          <c:orientation val="minMax"/>
        </c:scaling>
        <c:delete val="0"/>
        <c:axPos val="l"/>
        <c:numFmt formatCode="General" sourceLinked="1"/>
        <c:majorTickMark val="out"/>
        <c:minorTickMark val="none"/>
        <c:tickLblPos val="nextTo"/>
        <c:crossAx val="417686272"/>
        <c:crosses val="autoZero"/>
        <c:crossBetween val="between"/>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3095462458673403"/>
          <c:y val="4.4849220265756377E-2"/>
        </c:manualLayout>
      </c:layout>
      <c:overlay val="0"/>
      <c:txPr>
        <a:bodyPr/>
        <a:lstStyle/>
        <a:p>
          <a:pPr algn="ctr" rtl="0">
            <a:defRPr lang="zh-CN" altLang="en-US" sz="1000" b="0" i="0" u="none" strike="noStrike" kern="120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9.1293532338308461E-2"/>
          <c:y val="7.4793148739557433E-2"/>
          <c:w val="0.88025277157519488"/>
          <c:h val="0.80694301143391556"/>
        </c:manualLayout>
      </c:layout>
      <c:barChart>
        <c:barDir val="col"/>
        <c:grouping val="clustered"/>
        <c:varyColors val="0"/>
        <c:ser>
          <c:idx val="0"/>
          <c:order val="0"/>
          <c:tx>
            <c:strRef>
              <c:f>[2]Sheet2!$C$1</c:f>
              <c:strCache>
                <c:ptCount val="1"/>
                <c:pt idx="0">
                  <c:v>综合感官评分</c:v>
                </c:pt>
              </c:strCache>
            </c:strRef>
          </c:tx>
          <c:spPr>
            <a:solidFill>
              <a:schemeClr val="bg2">
                <a:lumMod val="50000"/>
              </a:schemeClr>
            </a:solidFill>
          </c:spPr>
          <c:invertIfNegative val="0"/>
          <c:errBars>
            <c:errBarType val="plus"/>
            <c:errValType val="cust"/>
            <c:noEndCap val="0"/>
            <c:plus>
              <c:numRef>
                <c:f>[2]Sheet2!$H$2:$H$10</c:f>
                <c:numCache>
                  <c:formatCode>General</c:formatCode>
                  <c:ptCount val="9"/>
                  <c:pt idx="0">
                    <c:v>0.79</c:v>
                  </c:pt>
                  <c:pt idx="1">
                    <c:v>1.07</c:v>
                  </c:pt>
                  <c:pt idx="2">
                    <c:v>0.8</c:v>
                  </c:pt>
                  <c:pt idx="3">
                    <c:v>0.72</c:v>
                  </c:pt>
                  <c:pt idx="4">
                    <c:v>0.73</c:v>
                  </c:pt>
                  <c:pt idx="5">
                    <c:v>0.88</c:v>
                  </c:pt>
                  <c:pt idx="6">
                    <c:v>1.1000000000000001</c:v>
                  </c:pt>
                  <c:pt idx="7">
                    <c:v>0.92</c:v>
                  </c:pt>
                  <c:pt idx="8">
                    <c:v>0.78</c:v>
                  </c:pt>
                </c:numCache>
              </c:numRef>
            </c:plus>
            <c:minus>
              <c:numRef>
                <c:f>[2]Sheet2!$H$2:$H$10</c:f>
                <c:numCache>
                  <c:formatCode>General</c:formatCode>
                  <c:ptCount val="9"/>
                  <c:pt idx="0">
                    <c:v>0.79</c:v>
                  </c:pt>
                  <c:pt idx="1">
                    <c:v>1.07</c:v>
                  </c:pt>
                  <c:pt idx="2">
                    <c:v>0.8</c:v>
                  </c:pt>
                  <c:pt idx="3">
                    <c:v>0.72</c:v>
                  </c:pt>
                  <c:pt idx="4">
                    <c:v>0.73</c:v>
                  </c:pt>
                  <c:pt idx="5">
                    <c:v>0.88</c:v>
                  </c:pt>
                  <c:pt idx="6">
                    <c:v>1.1000000000000001</c:v>
                  </c:pt>
                  <c:pt idx="7">
                    <c:v>0.92</c:v>
                  </c:pt>
                  <c:pt idx="8">
                    <c:v>0.78</c:v>
                  </c:pt>
                </c:numCache>
              </c:numRef>
            </c:minus>
          </c:errBars>
          <c:cat>
            <c:strRef>
              <c:f>[2]Sheet2!$A$2:$A$10</c:f>
              <c:strCache>
                <c:ptCount val="9"/>
                <c:pt idx="0">
                  <c:v>S1</c:v>
                </c:pt>
                <c:pt idx="1">
                  <c:v>S2</c:v>
                </c:pt>
                <c:pt idx="2">
                  <c:v>S3</c:v>
                </c:pt>
                <c:pt idx="3">
                  <c:v>S4</c:v>
                </c:pt>
                <c:pt idx="4">
                  <c:v>S5</c:v>
                </c:pt>
                <c:pt idx="5">
                  <c:v>S6</c:v>
                </c:pt>
                <c:pt idx="6">
                  <c:v>S7</c:v>
                </c:pt>
                <c:pt idx="7">
                  <c:v>S8</c:v>
                </c:pt>
                <c:pt idx="8">
                  <c:v>S9</c:v>
                </c:pt>
              </c:strCache>
            </c:strRef>
          </c:cat>
          <c:val>
            <c:numRef>
              <c:f>[2]Sheet2!$C$2:$C$10</c:f>
              <c:numCache>
                <c:formatCode>General</c:formatCode>
                <c:ptCount val="9"/>
                <c:pt idx="0">
                  <c:v>2.69</c:v>
                </c:pt>
                <c:pt idx="1">
                  <c:v>2.65</c:v>
                </c:pt>
                <c:pt idx="2">
                  <c:v>2.68</c:v>
                </c:pt>
                <c:pt idx="3">
                  <c:v>2.83</c:v>
                </c:pt>
                <c:pt idx="4">
                  <c:v>2.83</c:v>
                </c:pt>
                <c:pt idx="5">
                  <c:v>2.93</c:v>
                </c:pt>
                <c:pt idx="6">
                  <c:v>2.94</c:v>
                </c:pt>
                <c:pt idx="7">
                  <c:v>2.68</c:v>
                </c:pt>
                <c:pt idx="8">
                  <c:v>2.83</c:v>
                </c:pt>
              </c:numCache>
            </c:numRef>
          </c:val>
          <c:extLst>
            <c:ext xmlns:c16="http://schemas.microsoft.com/office/drawing/2014/chart" uri="{C3380CC4-5D6E-409C-BE32-E72D297353CC}">
              <c16:uniqueId val="{00000000-A637-4B13-AAAB-C02A6E2355BD}"/>
            </c:ext>
          </c:extLst>
        </c:ser>
        <c:dLbls>
          <c:showLegendKey val="0"/>
          <c:showVal val="0"/>
          <c:showCatName val="0"/>
          <c:showSerName val="0"/>
          <c:showPercent val="0"/>
          <c:showBubbleSize val="0"/>
        </c:dLbls>
        <c:gapWidth val="150"/>
        <c:axId val="417936128"/>
        <c:axId val="417937664"/>
      </c:barChart>
      <c:catAx>
        <c:axId val="417936128"/>
        <c:scaling>
          <c:orientation val="minMax"/>
        </c:scaling>
        <c:delete val="0"/>
        <c:axPos val="b"/>
        <c:numFmt formatCode="General" sourceLinked="0"/>
        <c:majorTickMark val="out"/>
        <c:minorTickMark val="none"/>
        <c:tickLblPos val="nextTo"/>
        <c:crossAx val="417937664"/>
        <c:crosses val="autoZero"/>
        <c:auto val="1"/>
        <c:lblAlgn val="ctr"/>
        <c:lblOffset val="100"/>
        <c:noMultiLvlLbl val="0"/>
      </c:catAx>
      <c:valAx>
        <c:axId val="417937664"/>
        <c:scaling>
          <c:orientation val="minMax"/>
        </c:scaling>
        <c:delete val="0"/>
        <c:axPos val="l"/>
        <c:numFmt formatCode="General" sourceLinked="1"/>
        <c:majorTickMark val="out"/>
        <c:minorTickMark val="none"/>
        <c:tickLblPos val="nextTo"/>
        <c:crossAx val="41793612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lang="zh-CN" altLang="en-US" sz="1000" b="0" i="0" u="none" strike="noStrike" kern="1200" baseline="0">
                <a:solidFill>
                  <a:sysClr val="windowText" lastClr="000000"/>
                </a:solidFill>
                <a:latin typeface="+mn-lt"/>
                <a:ea typeface="+mn-ea"/>
                <a:cs typeface="+mn-cs"/>
              </a:defRPr>
            </a:pPr>
            <a:r>
              <a:rPr lang="zh-CN" altLang="en-US" sz="1000" b="0" i="0" u="none" strike="noStrike" kern="1200" baseline="0">
                <a:solidFill>
                  <a:sysClr val="windowText" lastClr="000000"/>
                </a:solidFill>
                <a:latin typeface="+mn-lt"/>
                <a:ea typeface="+mn-ea"/>
                <a:cs typeface="+mn-cs"/>
              </a:rPr>
              <a:t>排序</a:t>
            </a:r>
          </a:p>
        </c:rich>
      </c:tx>
      <c:layout>
        <c:manualLayout>
          <c:xMode val="edge"/>
          <c:yMode val="edge"/>
          <c:x val="0.37110444737913434"/>
          <c:y val="5.3003742143957137E-2"/>
        </c:manualLayout>
      </c:layout>
      <c:overlay val="0"/>
    </c:title>
    <c:autoTitleDeleted val="0"/>
    <c:plotArea>
      <c:layout>
        <c:manualLayout>
          <c:layoutTarget val="inner"/>
          <c:xMode val="edge"/>
          <c:yMode val="edge"/>
          <c:x val="8.0548696844993148E-2"/>
          <c:y val="0.11734742912061509"/>
          <c:w val="0.76436023622047244"/>
          <c:h val="0.71619390949625272"/>
        </c:manualLayout>
      </c:layout>
      <c:barChart>
        <c:barDir val="col"/>
        <c:grouping val="clustered"/>
        <c:varyColors val="0"/>
        <c:ser>
          <c:idx val="1"/>
          <c:order val="0"/>
          <c:tx>
            <c:strRef>
              <c:f>[2]Sheet2!$D$1</c:f>
              <c:strCache>
                <c:ptCount val="1"/>
                <c:pt idx="0">
                  <c:v>排序</c:v>
                </c:pt>
              </c:strCache>
            </c:strRef>
          </c:tx>
          <c:spPr>
            <a:solidFill>
              <a:schemeClr val="bg2">
                <a:lumMod val="50000"/>
              </a:schemeClr>
            </a:solidFill>
          </c:spPr>
          <c:invertIfNegative val="0"/>
          <c:errBars>
            <c:errBarType val="plus"/>
            <c:errValType val="cust"/>
            <c:noEndCap val="0"/>
            <c:plus>
              <c:numRef>
                <c:f>[2]Sheet2!$I$2:$I$10</c:f>
                <c:numCache>
                  <c:formatCode>General</c:formatCode>
                  <c:ptCount val="9"/>
                  <c:pt idx="0">
                    <c:v>1.17</c:v>
                  </c:pt>
                  <c:pt idx="1">
                    <c:v>1.39</c:v>
                  </c:pt>
                  <c:pt idx="2">
                    <c:v>1.24</c:v>
                  </c:pt>
                  <c:pt idx="3">
                    <c:v>1.51</c:v>
                  </c:pt>
                  <c:pt idx="4">
                    <c:v>1.3</c:v>
                  </c:pt>
                  <c:pt idx="5">
                    <c:v>1.84</c:v>
                  </c:pt>
                  <c:pt idx="6">
                    <c:v>1.64</c:v>
                  </c:pt>
                  <c:pt idx="7">
                    <c:v>1.46</c:v>
                  </c:pt>
                  <c:pt idx="8">
                    <c:v>1.4</c:v>
                  </c:pt>
                </c:numCache>
              </c:numRef>
            </c:plus>
            <c:minus>
              <c:numRef>
                <c:f>[2]Sheet2!$I$2:$I$10</c:f>
                <c:numCache>
                  <c:formatCode>General</c:formatCode>
                  <c:ptCount val="9"/>
                  <c:pt idx="0">
                    <c:v>1.17</c:v>
                  </c:pt>
                  <c:pt idx="1">
                    <c:v>1.39</c:v>
                  </c:pt>
                  <c:pt idx="2">
                    <c:v>1.24</c:v>
                  </c:pt>
                  <c:pt idx="3">
                    <c:v>1.51</c:v>
                  </c:pt>
                  <c:pt idx="4">
                    <c:v>1.3</c:v>
                  </c:pt>
                  <c:pt idx="5">
                    <c:v>1.84</c:v>
                  </c:pt>
                  <c:pt idx="6">
                    <c:v>1.64</c:v>
                  </c:pt>
                  <c:pt idx="7">
                    <c:v>1.46</c:v>
                  </c:pt>
                  <c:pt idx="8">
                    <c:v>1.4</c:v>
                  </c:pt>
                </c:numCache>
              </c:numRef>
            </c:minus>
          </c:errBars>
          <c:cat>
            <c:strRef>
              <c:f>Sheet2!$A$2:$A$10</c:f>
              <c:strCache>
                <c:ptCount val="9"/>
                <c:pt idx="0">
                  <c:v>S1</c:v>
                </c:pt>
                <c:pt idx="1">
                  <c:v>S2</c:v>
                </c:pt>
                <c:pt idx="2">
                  <c:v>S3</c:v>
                </c:pt>
                <c:pt idx="3">
                  <c:v>S4</c:v>
                </c:pt>
                <c:pt idx="4">
                  <c:v>S5</c:v>
                </c:pt>
                <c:pt idx="5">
                  <c:v>S6</c:v>
                </c:pt>
                <c:pt idx="6">
                  <c:v>S7</c:v>
                </c:pt>
                <c:pt idx="7">
                  <c:v>S8</c:v>
                </c:pt>
                <c:pt idx="8">
                  <c:v>S9</c:v>
                </c:pt>
              </c:strCache>
            </c:strRef>
          </c:cat>
          <c:val>
            <c:numRef>
              <c:f>[2]Sheet2!$D$2:$D$10</c:f>
              <c:numCache>
                <c:formatCode>General</c:formatCode>
                <c:ptCount val="9"/>
                <c:pt idx="0">
                  <c:v>3.53</c:v>
                </c:pt>
                <c:pt idx="1">
                  <c:v>3.53</c:v>
                </c:pt>
                <c:pt idx="2">
                  <c:v>3.11</c:v>
                </c:pt>
                <c:pt idx="3">
                  <c:v>2.79</c:v>
                </c:pt>
                <c:pt idx="4">
                  <c:v>2.63</c:v>
                </c:pt>
                <c:pt idx="5">
                  <c:v>3.21</c:v>
                </c:pt>
                <c:pt idx="6">
                  <c:v>2.63</c:v>
                </c:pt>
                <c:pt idx="7">
                  <c:v>3.37</c:v>
                </c:pt>
                <c:pt idx="8">
                  <c:v>2.79</c:v>
                </c:pt>
              </c:numCache>
            </c:numRef>
          </c:val>
          <c:extLst>
            <c:ext xmlns:c16="http://schemas.microsoft.com/office/drawing/2014/chart" uri="{C3380CC4-5D6E-409C-BE32-E72D297353CC}">
              <c16:uniqueId val="{00000000-33B2-4CA9-B90E-22EF6292F60D}"/>
            </c:ext>
          </c:extLst>
        </c:ser>
        <c:dLbls>
          <c:showLegendKey val="0"/>
          <c:showVal val="0"/>
          <c:showCatName val="0"/>
          <c:showSerName val="0"/>
          <c:showPercent val="0"/>
          <c:showBubbleSize val="0"/>
        </c:dLbls>
        <c:gapWidth val="150"/>
        <c:axId val="417389184"/>
        <c:axId val="417661312"/>
      </c:barChart>
      <c:catAx>
        <c:axId val="417389184"/>
        <c:scaling>
          <c:orientation val="minMax"/>
        </c:scaling>
        <c:delete val="0"/>
        <c:axPos val="b"/>
        <c:numFmt formatCode="General" sourceLinked="1"/>
        <c:majorTickMark val="out"/>
        <c:minorTickMark val="none"/>
        <c:tickLblPos val="nextTo"/>
        <c:crossAx val="417661312"/>
        <c:crosses val="autoZero"/>
        <c:auto val="1"/>
        <c:lblAlgn val="ctr"/>
        <c:lblOffset val="100"/>
        <c:noMultiLvlLbl val="0"/>
      </c:catAx>
      <c:valAx>
        <c:axId val="417661312"/>
        <c:scaling>
          <c:orientation val="minMax"/>
        </c:scaling>
        <c:delete val="0"/>
        <c:axPos val="l"/>
        <c:numFmt formatCode="General" sourceLinked="1"/>
        <c:majorTickMark val="out"/>
        <c:minorTickMark val="none"/>
        <c:tickLblPos val="nextTo"/>
        <c:crossAx val="41738918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lang="zh-CN" altLang="en-US" sz="1000" b="1" i="0" u="none" strike="noStrike" kern="1200" baseline="0">
                <a:solidFill>
                  <a:sysClr val="windowText" lastClr="000000"/>
                </a:solidFill>
                <a:latin typeface="+mn-lt"/>
                <a:ea typeface="+mn-ea"/>
                <a:cs typeface="+mn-cs"/>
              </a:defRPr>
            </a:pPr>
            <a:r>
              <a:rPr lang="zh-CN" altLang="en-US" sz="1000" b="0" i="0" u="none" strike="noStrike" kern="1200" baseline="0">
                <a:solidFill>
                  <a:sysClr val="windowText" lastClr="000000"/>
                </a:solidFill>
                <a:latin typeface="+mn-lt"/>
                <a:ea typeface="+mn-ea"/>
                <a:cs typeface="+mn-cs"/>
              </a:rPr>
              <a:t>苦度值</a:t>
            </a:r>
            <a:r>
              <a:rPr lang="en-US" altLang="zh-CN" sz="1000" b="0" i="0" u="none" strike="noStrike" kern="1200" baseline="0">
                <a:solidFill>
                  <a:sysClr val="windowText" lastClr="000000"/>
                </a:solidFill>
                <a:latin typeface="+mn-lt"/>
                <a:ea typeface="+mn-ea"/>
                <a:cs typeface="+mn-cs"/>
              </a:rPr>
              <a:t>+</a:t>
            </a:r>
            <a:r>
              <a:rPr lang="zh-CN" altLang="en-US" sz="1000" b="0" i="0" u="none" strike="noStrike" kern="1200" baseline="0">
                <a:solidFill>
                  <a:sysClr val="windowText" lastClr="000000"/>
                </a:solidFill>
                <a:latin typeface="+mn-lt"/>
                <a:ea typeface="+mn-ea"/>
                <a:cs typeface="+mn-cs"/>
              </a:rPr>
              <a:t>排序</a:t>
            </a:r>
          </a:p>
        </c:rich>
      </c:tx>
      <c:layout>
        <c:manualLayout>
          <c:xMode val="edge"/>
          <c:yMode val="edge"/>
          <c:x val="0.31381030870510662"/>
          <c:y val="5.5936745910599946E-2"/>
        </c:manualLayout>
      </c:layout>
      <c:overlay val="0"/>
    </c:title>
    <c:autoTitleDeleted val="0"/>
    <c:plotArea>
      <c:layout>
        <c:manualLayout>
          <c:layoutTarget val="inner"/>
          <c:xMode val="edge"/>
          <c:yMode val="edge"/>
          <c:x val="0.1132408575031526"/>
          <c:y val="8.5302716444134244E-2"/>
          <c:w val="0.80479192938209332"/>
          <c:h val="0.78311377744448607"/>
        </c:manualLayout>
      </c:layout>
      <c:lineChart>
        <c:grouping val="standard"/>
        <c:varyColors val="0"/>
        <c:ser>
          <c:idx val="0"/>
          <c:order val="0"/>
          <c:tx>
            <c:strRef>
              <c:f>[2]Sheet2!$E$1</c:f>
              <c:strCache>
                <c:ptCount val="1"/>
                <c:pt idx="0">
                  <c:v>苦度值+排序</c:v>
                </c:pt>
              </c:strCache>
            </c:strRef>
          </c:tx>
          <c:spPr>
            <a:ln>
              <a:solidFill>
                <a:sysClr val="windowText" lastClr="000000">
                  <a:lumMod val="50000"/>
                  <a:lumOff val="50000"/>
                </a:sysClr>
              </a:solidFill>
            </a:ln>
          </c:spPr>
          <c:marker>
            <c:spPr>
              <a:ln>
                <a:solidFill>
                  <a:sysClr val="windowText" lastClr="000000">
                    <a:lumMod val="50000"/>
                    <a:lumOff val="50000"/>
                  </a:sysClr>
                </a:solidFill>
              </a:ln>
            </c:spPr>
          </c:marker>
          <c:cat>
            <c:strRef>
              <c:f>[2]Sheet2!$A$2:$A$10</c:f>
              <c:strCache>
                <c:ptCount val="9"/>
                <c:pt idx="0">
                  <c:v>S1</c:v>
                </c:pt>
                <c:pt idx="1">
                  <c:v>S2</c:v>
                </c:pt>
                <c:pt idx="2">
                  <c:v>S3</c:v>
                </c:pt>
                <c:pt idx="3">
                  <c:v>S4</c:v>
                </c:pt>
                <c:pt idx="4">
                  <c:v>S5</c:v>
                </c:pt>
                <c:pt idx="5">
                  <c:v>S6</c:v>
                </c:pt>
                <c:pt idx="6">
                  <c:v>S7</c:v>
                </c:pt>
                <c:pt idx="7">
                  <c:v>S8</c:v>
                </c:pt>
                <c:pt idx="8">
                  <c:v>S9</c:v>
                </c:pt>
              </c:strCache>
            </c:strRef>
          </c:cat>
          <c:val>
            <c:numRef>
              <c:f>[2]Sheet2!$E$2:$E$10</c:f>
              <c:numCache>
                <c:formatCode>General</c:formatCode>
                <c:ptCount val="9"/>
                <c:pt idx="0">
                  <c:v>5.98</c:v>
                </c:pt>
                <c:pt idx="1">
                  <c:v>5.96</c:v>
                </c:pt>
                <c:pt idx="2">
                  <c:v>5.45</c:v>
                </c:pt>
                <c:pt idx="3">
                  <c:v>4.99</c:v>
                </c:pt>
                <c:pt idx="4">
                  <c:v>4.92</c:v>
                </c:pt>
                <c:pt idx="5">
                  <c:v>5.52</c:v>
                </c:pt>
                <c:pt idx="6">
                  <c:v>4.8600000000000003</c:v>
                </c:pt>
                <c:pt idx="7">
                  <c:v>6.05</c:v>
                </c:pt>
                <c:pt idx="8">
                  <c:v>4.9800000000000004</c:v>
                </c:pt>
              </c:numCache>
            </c:numRef>
          </c:val>
          <c:smooth val="0"/>
          <c:extLst>
            <c:ext xmlns:c16="http://schemas.microsoft.com/office/drawing/2014/chart" uri="{C3380CC4-5D6E-409C-BE32-E72D297353CC}">
              <c16:uniqueId val="{00000000-E5BF-4539-8E43-D50CC803EB55}"/>
            </c:ext>
          </c:extLst>
        </c:ser>
        <c:dLbls>
          <c:showLegendKey val="0"/>
          <c:showVal val="0"/>
          <c:showCatName val="0"/>
          <c:showSerName val="0"/>
          <c:showPercent val="0"/>
          <c:showBubbleSize val="0"/>
        </c:dLbls>
        <c:marker val="1"/>
        <c:smooth val="0"/>
        <c:axId val="417696000"/>
        <c:axId val="417702272"/>
      </c:lineChart>
      <c:catAx>
        <c:axId val="417696000"/>
        <c:scaling>
          <c:orientation val="minMax"/>
        </c:scaling>
        <c:delete val="0"/>
        <c:axPos val="b"/>
        <c:numFmt formatCode="General" sourceLinked="0"/>
        <c:majorTickMark val="out"/>
        <c:minorTickMark val="none"/>
        <c:tickLblPos val="nextTo"/>
        <c:crossAx val="417702272"/>
        <c:crosses val="autoZero"/>
        <c:auto val="1"/>
        <c:lblAlgn val="ctr"/>
        <c:lblOffset val="100"/>
        <c:noMultiLvlLbl val="0"/>
      </c:catAx>
      <c:valAx>
        <c:axId val="417702272"/>
        <c:scaling>
          <c:orientation val="minMax"/>
        </c:scaling>
        <c:delete val="0"/>
        <c:axPos val="l"/>
        <c:numFmt formatCode="General" sourceLinked="1"/>
        <c:majorTickMark val="out"/>
        <c:minorTickMark val="none"/>
        <c:tickLblPos val="nextTo"/>
        <c:crossAx val="417696000"/>
        <c:crosses val="autoZero"/>
        <c:crossBetween val="between"/>
      </c:valAx>
    </c:plotArea>
    <c:plotVisOnly val="1"/>
    <c:dispBlanksAs val="gap"/>
    <c:showDLblsOverMax val="0"/>
  </c:chart>
  <c:spPr>
    <a:ln>
      <a:noFill/>
    </a:ln>
  </c:spPr>
  <c:txPr>
    <a:bodyPr/>
    <a:lstStyle/>
    <a:p>
      <a:pPr algn="ctr" rtl="0">
        <a:defRPr lang="zh-CN" altLang="en-US" sz="1000" b="1" i="0" u="none" strike="noStrike" kern="1200" baseline="0">
          <a:solidFill>
            <a:sysClr val="windowText" lastClr="000000"/>
          </a:solidFill>
          <a:latin typeface="+mn-lt"/>
          <a:ea typeface="+mn-ea"/>
          <a:cs typeface="+mn-cs"/>
        </a:defRPr>
      </a:pPr>
      <a:endParaRPr lang="zh-CN"/>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0.14415</cdr:x>
      <cdr:y>0</cdr:y>
    </cdr:from>
    <cdr:to>
      <cdr:x>0.23582</cdr:x>
      <cdr:y>0.10416</cdr:y>
    </cdr:to>
    <cdr:sp macro="" textlink="">
      <cdr:nvSpPr>
        <cdr:cNvPr id="2" name="TextBox 1"/>
        <cdr:cNvSpPr txBox="1"/>
      </cdr:nvSpPr>
      <cdr:spPr>
        <a:xfrm xmlns:a="http://schemas.openxmlformats.org/drawingml/2006/main">
          <a:off x="278538" y="0"/>
          <a:ext cx="177134" cy="193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latin typeface="Times New Roman" pitchFamily="18" charset="0"/>
              <a:cs typeface="Times New Roman" pitchFamily="18" charset="0"/>
            </a:rPr>
            <a:t>I</a:t>
          </a:r>
          <a:r>
            <a:rPr lang="en-US" altLang="zh-CN" sz="800">
              <a:latin typeface="Times New Roman" pitchFamily="18" charset="0"/>
              <a:cs typeface="Times New Roman" pitchFamily="18" charset="0"/>
            </a:rPr>
            <a:t>0</a:t>
          </a:r>
          <a:endParaRPr lang="zh-CN" altLang="en-US" sz="8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294C4-6A8A-4E12-8363-FDDF3D88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《药学通讯》电子版模板.dotx</Template>
  <TotalTime>26</TotalTime>
  <Pages>29</Pages>
  <Words>9539</Words>
  <Characters>10398</Characters>
  <Application>Microsoft Office Word</Application>
  <DocSecurity>0</DocSecurity>
  <Lines>371</Lines>
  <Paragraphs>293</Paragraphs>
  <ScaleCrop>false</ScaleCrop>
  <Company>河南中医学院第一附属医院</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《药学通讯》2015年第4期</dc:title>
  <dc:creator>Zhang Bo</dc:creator>
  <cp:lastModifiedBy>张 博</cp:lastModifiedBy>
  <cp:revision>8</cp:revision>
  <cp:lastPrinted>2015-11-05T09:38:00Z</cp:lastPrinted>
  <dcterms:created xsi:type="dcterms:W3CDTF">2018-09-06T01:33:00Z</dcterms:created>
  <dcterms:modified xsi:type="dcterms:W3CDTF">2019-04-18T02:47:00Z</dcterms:modified>
</cp:coreProperties>
</file>