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D2" w:rsidRPr="005F6876" w:rsidRDefault="00151ED2" w:rsidP="00151ED2">
      <w:pPr>
        <w:shd w:val="clear" w:color="auto" w:fill="FFFFFF"/>
        <w:spacing w:after="0" w:line="360" w:lineRule="auto"/>
        <w:jc w:val="center"/>
        <w:rPr>
          <w:rFonts w:asciiTheme="minorEastAsia" w:eastAsiaTheme="minorEastAsia" w:hAnsiTheme="minorEastAsia" w:cs="Arial"/>
          <w:b/>
          <w:color w:val="000000"/>
          <w:sz w:val="28"/>
          <w:szCs w:val="28"/>
        </w:rPr>
      </w:pPr>
      <w:r w:rsidRPr="005F6876">
        <w:rPr>
          <w:rFonts w:asciiTheme="minorEastAsia" w:eastAsiaTheme="minorEastAsia" w:hAnsiTheme="minorEastAsia" w:cs="Arial" w:hint="eastAsia"/>
          <w:b/>
          <w:color w:val="000000"/>
          <w:sz w:val="28"/>
          <w:szCs w:val="28"/>
        </w:rPr>
        <w:t>早期应用单唾液酸四己糖神经节苷脂治疗急性期颅脑损伤临床观察</w:t>
      </w:r>
    </w:p>
    <w:p w:rsidR="00151ED2" w:rsidRPr="005F6876" w:rsidRDefault="00151ED2" w:rsidP="00151ED2">
      <w:pPr>
        <w:spacing w:after="0" w:line="360" w:lineRule="auto"/>
        <w:jc w:val="center"/>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药品库房    房伟  </w:t>
      </w:r>
    </w:p>
    <w:p w:rsidR="00151ED2" w:rsidRPr="005F6876" w:rsidRDefault="00151ED2" w:rsidP="00151ED2">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bCs/>
          <w:sz w:val="24"/>
          <w:szCs w:val="24"/>
        </w:rPr>
        <w:t>[摘要]</w:t>
      </w:r>
      <w:r w:rsidRPr="005F6876">
        <w:rPr>
          <w:rFonts w:asciiTheme="minorEastAsia" w:eastAsiaTheme="minorEastAsia" w:hAnsiTheme="minorEastAsia" w:hint="eastAsia"/>
          <w:sz w:val="24"/>
          <w:szCs w:val="24"/>
        </w:rPr>
        <w:t>目的：探讨早期应用单唾液酸四己糖神经节苷脂治疗急性期颅脑损伤的临床疗效。方法：选取我院收治的120例急性期颅脑损伤患者随机分成观察组和对照组</w:t>
      </w:r>
      <w:r w:rsidRPr="005F6876">
        <w:rPr>
          <w:rFonts w:asciiTheme="minorEastAsia" w:eastAsiaTheme="minorEastAsia" w:hAnsiTheme="minorEastAsia" w:cs="Calibri" w:hint="eastAsia"/>
          <w:sz w:val="24"/>
          <w:szCs w:val="24"/>
        </w:rPr>
        <w:t>，对照组60例给常规综合对症治疗</w:t>
      </w:r>
      <w:r w:rsidRPr="005F6876">
        <w:rPr>
          <w:rFonts w:asciiTheme="minorEastAsia" w:eastAsiaTheme="minorEastAsia" w:hAnsiTheme="minorEastAsia" w:hint="eastAsia"/>
          <w:sz w:val="24"/>
          <w:szCs w:val="24"/>
        </w:rPr>
        <w:t>，</w:t>
      </w:r>
      <w:r w:rsidRPr="005F6876">
        <w:rPr>
          <w:rFonts w:asciiTheme="minorEastAsia" w:eastAsiaTheme="minorEastAsia" w:hAnsiTheme="minorEastAsia" w:cs="Calibri" w:hint="eastAsia"/>
          <w:sz w:val="24"/>
          <w:szCs w:val="24"/>
        </w:rPr>
        <w:t>观察</w:t>
      </w:r>
      <w:r w:rsidRPr="005F6876">
        <w:rPr>
          <w:rFonts w:asciiTheme="minorEastAsia" w:eastAsiaTheme="minorEastAsia" w:hAnsiTheme="minorEastAsia" w:cs="Calibri"/>
          <w:sz w:val="24"/>
          <w:szCs w:val="24"/>
        </w:rPr>
        <w:t>组</w:t>
      </w:r>
      <w:r w:rsidRPr="005F6876">
        <w:rPr>
          <w:rFonts w:asciiTheme="minorEastAsia" w:eastAsiaTheme="minorEastAsia" w:hAnsiTheme="minorEastAsia" w:cs="Calibri" w:hint="eastAsia"/>
          <w:sz w:val="24"/>
          <w:szCs w:val="24"/>
        </w:rPr>
        <w:t>60例在常规综合治疗的基础上给予</w:t>
      </w:r>
      <w:r w:rsidRPr="005F6876">
        <w:rPr>
          <w:rFonts w:asciiTheme="minorEastAsia" w:eastAsiaTheme="minorEastAsia" w:hAnsiTheme="minorEastAsia" w:hint="eastAsia"/>
          <w:sz w:val="24"/>
          <w:szCs w:val="24"/>
        </w:rPr>
        <w:t>单唾液酸四己糖神经节苷脂治疗</w:t>
      </w:r>
      <w:r w:rsidRPr="005F6876">
        <w:rPr>
          <w:rFonts w:asciiTheme="minorEastAsia" w:eastAsiaTheme="minorEastAsia" w:hAnsiTheme="minorEastAsia" w:cs="Calibri" w:hint="eastAsia"/>
          <w:sz w:val="24"/>
          <w:szCs w:val="24"/>
        </w:rPr>
        <w:t>。比较两组患者治疗前后神经系统恢复情况及GCS 评分差异。结果：</w:t>
      </w:r>
      <w:r w:rsidRPr="005F6876">
        <w:rPr>
          <w:rFonts w:asciiTheme="minorEastAsia" w:eastAsiaTheme="minorEastAsia" w:hAnsiTheme="minorEastAsia" w:hint="eastAsia"/>
          <w:sz w:val="24"/>
          <w:szCs w:val="24"/>
        </w:rPr>
        <w:t>观察组患者治疗两周后，神经功能恢复情况明显高于对照组，两组比较差异有统计学意义（P&lt;0.05）。观察组患者治疗两周后，</w:t>
      </w:r>
      <w:r w:rsidRPr="005F6876">
        <w:rPr>
          <w:rFonts w:asciiTheme="minorEastAsia" w:eastAsiaTheme="minorEastAsia" w:hAnsiTheme="minorEastAsia" w:cs="Calibri" w:hint="eastAsia"/>
          <w:sz w:val="24"/>
          <w:szCs w:val="24"/>
        </w:rPr>
        <w:t>GCS 评分</w:t>
      </w:r>
      <w:r w:rsidRPr="005F6876">
        <w:rPr>
          <w:rFonts w:asciiTheme="minorEastAsia" w:eastAsiaTheme="minorEastAsia" w:hAnsiTheme="minorEastAsia" w:hint="eastAsia"/>
          <w:sz w:val="24"/>
          <w:szCs w:val="24"/>
        </w:rPr>
        <w:t>明显高于对照组，两组比较差异有统计学意义（P&lt;0.05）。结论：单唾液酸四己糖神经节苷脂可有效提高急性期颅脑损伤患者的神经功能恢复情况，并可有效保护患者的受损神经，值得临床上进一步推广应用。</w:t>
      </w:r>
    </w:p>
    <w:p w:rsidR="00151ED2" w:rsidRPr="005F6876" w:rsidRDefault="00151ED2" w:rsidP="00151ED2">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sz w:val="24"/>
          <w:szCs w:val="24"/>
        </w:rPr>
        <w:t>[关键词]</w:t>
      </w:r>
      <w:r w:rsidRPr="005F6876">
        <w:rPr>
          <w:rFonts w:asciiTheme="minorEastAsia" w:eastAsiaTheme="minorEastAsia" w:hAnsiTheme="minorEastAsia" w:hint="eastAsia"/>
          <w:sz w:val="24"/>
          <w:szCs w:val="24"/>
        </w:rPr>
        <w:t>单唾液酸四己糖神经节苷脂;颅脑损伤;急性期;临床疗效</w:t>
      </w:r>
    </w:p>
    <w:p w:rsidR="00151ED2" w:rsidRPr="005F6876" w:rsidRDefault="00151ED2" w:rsidP="00151ED2">
      <w:pPr>
        <w:spacing w:after="0" w:line="360" w:lineRule="auto"/>
        <w:ind w:firstLineChars="200" w:firstLine="480"/>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颅脑损伤是神经外科最为常见的一种急诊重症疾病，多为意外事故造成，具有病情重、病变不稳定、并发症多、疗效差、治疗难度大、病死率高等特点。单唾液酸四己糖神经节苷脂(GM1) 是细胞膜的组成成分，在中枢神经系统中具有较高浓度，以大脑灰质中含量最高</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vertAlign w:val="superscript"/>
        </w:rPr>
        <w:t>1-2</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rPr>
        <w:t>。颅脑损伤后，神经系统内细胞膜上GM1含量显著下降，对症给予外源性GM1输注治疗，进入体内的GM1嵌入受损的神经细胞膜上，能明显对抗神经细胞损伤，促进神经细胞生长，促进中枢神经系统功能恢复，对抑制损伤后继发性神经退化有较好疗效</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vertAlign w:val="superscript"/>
        </w:rPr>
        <w:t>3-4</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rPr>
        <w:t>。近年我院应用单唾液酸四己糖神经节苷脂治疗急性期颅脑损伤取得了良好效果，本文选取我院收治的120例急性期颅脑损伤患者的临床资料进行回顾性分析，现文章报道如下。</w:t>
      </w:r>
    </w:p>
    <w:p w:rsidR="00151ED2" w:rsidRPr="005F6876" w:rsidRDefault="00151ED2" w:rsidP="00151ED2">
      <w:pPr>
        <w:spacing w:after="0" w:line="360" w:lineRule="auto"/>
        <w:rPr>
          <w:rFonts w:asciiTheme="minorEastAsia" w:eastAsiaTheme="minorEastAsia" w:hAnsiTheme="minorEastAsia"/>
          <w:b/>
          <w:sz w:val="24"/>
          <w:szCs w:val="24"/>
        </w:rPr>
      </w:pPr>
      <w:r w:rsidRPr="005F6876">
        <w:rPr>
          <w:rFonts w:asciiTheme="minorEastAsia" w:eastAsiaTheme="minorEastAsia" w:hAnsiTheme="minorEastAsia"/>
          <w:b/>
          <w:sz w:val="24"/>
          <w:szCs w:val="24"/>
        </w:rPr>
        <w:t>1</w:t>
      </w:r>
      <w:r w:rsidRPr="005F6876">
        <w:rPr>
          <w:rFonts w:asciiTheme="minorEastAsia" w:eastAsiaTheme="minorEastAsia" w:hAnsiTheme="minorEastAsia" w:hint="eastAsia"/>
          <w:b/>
          <w:sz w:val="24"/>
          <w:szCs w:val="24"/>
        </w:rPr>
        <w:t xml:space="preserve"> 资料与方法</w:t>
      </w:r>
    </w:p>
    <w:p w:rsidR="00151ED2" w:rsidRPr="005F6876" w:rsidRDefault="00151ED2" w:rsidP="00151ED2">
      <w:pPr>
        <w:spacing w:after="0" w:line="360" w:lineRule="auto"/>
        <w:rPr>
          <w:rFonts w:asciiTheme="minorEastAsia" w:eastAsiaTheme="minorEastAsia" w:hAnsiTheme="minorEastAsia"/>
          <w:b/>
          <w:sz w:val="24"/>
          <w:szCs w:val="24"/>
        </w:rPr>
      </w:pPr>
      <w:r w:rsidRPr="005F6876">
        <w:rPr>
          <w:rFonts w:asciiTheme="minorEastAsia" w:eastAsiaTheme="minorEastAsia" w:hAnsiTheme="minorEastAsia"/>
          <w:b/>
          <w:sz w:val="24"/>
          <w:szCs w:val="24"/>
        </w:rPr>
        <w:t>1.1</w:t>
      </w:r>
      <w:r w:rsidRPr="005F6876">
        <w:rPr>
          <w:rFonts w:asciiTheme="minorEastAsia" w:eastAsiaTheme="minorEastAsia" w:hAnsiTheme="minorEastAsia" w:hint="eastAsia"/>
          <w:b/>
          <w:sz w:val="24"/>
          <w:szCs w:val="24"/>
        </w:rPr>
        <w:t xml:space="preserve">一般资料  </w:t>
      </w:r>
      <w:r w:rsidRPr="005F6876">
        <w:rPr>
          <w:rFonts w:asciiTheme="minorEastAsia" w:eastAsiaTheme="minorEastAsia" w:hAnsiTheme="minorEastAsia" w:hint="eastAsia"/>
          <w:sz w:val="24"/>
          <w:szCs w:val="24"/>
        </w:rPr>
        <w:t>选取</w:t>
      </w:r>
      <w:r w:rsidRPr="005F6876">
        <w:rPr>
          <w:rFonts w:asciiTheme="minorEastAsia" w:eastAsiaTheme="minorEastAsia" w:hAnsiTheme="minorEastAsia"/>
          <w:sz w:val="24"/>
          <w:szCs w:val="24"/>
        </w:rPr>
        <w:t>2011</w:t>
      </w:r>
      <w:r w:rsidRPr="005F6876">
        <w:rPr>
          <w:rFonts w:asciiTheme="minorEastAsia" w:eastAsiaTheme="minorEastAsia" w:hAnsiTheme="minorEastAsia" w:hint="eastAsia"/>
          <w:sz w:val="24"/>
          <w:szCs w:val="24"/>
        </w:rPr>
        <w:t>年3月</w:t>
      </w:r>
      <w:r w:rsidRPr="005F6876">
        <w:rPr>
          <w:rFonts w:asciiTheme="minorEastAsia" w:eastAsiaTheme="minorEastAsia" w:hAnsiTheme="minorEastAsia"/>
          <w:sz w:val="24"/>
          <w:szCs w:val="24"/>
        </w:rPr>
        <w:t>-2013</w:t>
      </w:r>
      <w:r w:rsidRPr="005F6876">
        <w:rPr>
          <w:rFonts w:asciiTheme="minorEastAsia" w:eastAsiaTheme="minorEastAsia" w:hAnsiTheme="minorEastAsia" w:hint="eastAsia"/>
          <w:sz w:val="24"/>
          <w:szCs w:val="24"/>
        </w:rPr>
        <w:t>年3月我院收治的急性期颅脑损伤患者120例，随机分为对照组、观察组各60例。入院后积极完善颅脑CT检查，急性路脑损伤诊断明确，格拉斯哥评分( GCS)5-8分。其中其中男67例，女53例，年龄20～58岁，平均（36.3±</w:t>
      </w:r>
      <w:r w:rsidRPr="005F6876">
        <w:rPr>
          <w:rFonts w:asciiTheme="minorEastAsia" w:eastAsiaTheme="minorEastAsia" w:hAnsiTheme="minorEastAsia"/>
          <w:sz w:val="24"/>
          <w:szCs w:val="24"/>
        </w:rPr>
        <w:t>1.</w:t>
      </w:r>
      <w:r w:rsidRPr="005F6876">
        <w:rPr>
          <w:rFonts w:asciiTheme="minorEastAsia" w:eastAsiaTheme="minorEastAsia" w:hAnsiTheme="minorEastAsia" w:hint="eastAsia"/>
          <w:sz w:val="24"/>
          <w:szCs w:val="24"/>
        </w:rPr>
        <w:t>3）岁，受伤机制：交通事故伤56例，坠落摔伤36例，打击伤17例，跌伤11例。全部患者均与伤后12小时内就诊，临床表现：意识障碍、语言障碍、肢体功能障碍、听力障碍及恶心、呕吐、昏迷、躁动、共济失调、呼吸抑制、大小便失禁等。</w:t>
      </w:r>
      <w:r w:rsidRPr="005F6876">
        <w:rPr>
          <w:rFonts w:asciiTheme="minorEastAsia" w:eastAsiaTheme="minorEastAsia" w:hAnsiTheme="minorEastAsia"/>
          <w:sz w:val="24"/>
          <w:szCs w:val="24"/>
        </w:rPr>
        <w:t>两组患者</w:t>
      </w:r>
      <w:r w:rsidRPr="005F6876">
        <w:rPr>
          <w:rFonts w:asciiTheme="minorEastAsia" w:eastAsiaTheme="minorEastAsia" w:hAnsiTheme="minorEastAsia" w:hint="eastAsia"/>
          <w:sz w:val="24"/>
          <w:szCs w:val="24"/>
        </w:rPr>
        <w:t>治疗前GCS评分、</w:t>
      </w:r>
      <w:r w:rsidRPr="005F6876">
        <w:rPr>
          <w:rFonts w:asciiTheme="minorEastAsia" w:eastAsiaTheme="minorEastAsia" w:hAnsiTheme="minorEastAsia"/>
          <w:sz w:val="24"/>
          <w:szCs w:val="24"/>
        </w:rPr>
        <w:lastRenderedPageBreak/>
        <w:t>年龄、</w:t>
      </w:r>
      <w:r w:rsidRPr="005F6876">
        <w:rPr>
          <w:rFonts w:asciiTheme="minorEastAsia" w:eastAsiaTheme="minorEastAsia" w:hAnsiTheme="minorEastAsia" w:hint="eastAsia"/>
          <w:sz w:val="24"/>
          <w:szCs w:val="24"/>
        </w:rPr>
        <w:t>性别、受伤机制及临床表现</w:t>
      </w:r>
      <w:r w:rsidRPr="005F6876">
        <w:rPr>
          <w:rFonts w:asciiTheme="minorEastAsia" w:eastAsiaTheme="minorEastAsia" w:hAnsiTheme="minorEastAsia"/>
          <w:sz w:val="24"/>
          <w:szCs w:val="24"/>
        </w:rPr>
        <w:t>等</w:t>
      </w:r>
      <w:r w:rsidRPr="005F6876">
        <w:rPr>
          <w:rFonts w:asciiTheme="minorEastAsia" w:eastAsiaTheme="minorEastAsia" w:hAnsiTheme="minorEastAsia" w:hint="eastAsia"/>
          <w:sz w:val="24"/>
          <w:szCs w:val="24"/>
        </w:rPr>
        <w:t>基本</w:t>
      </w:r>
      <w:r w:rsidRPr="005F6876">
        <w:rPr>
          <w:rFonts w:asciiTheme="minorEastAsia" w:eastAsiaTheme="minorEastAsia" w:hAnsiTheme="minorEastAsia"/>
          <w:sz w:val="24"/>
          <w:szCs w:val="24"/>
        </w:rPr>
        <w:t>情况对比</w:t>
      </w:r>
      <w:r w:rsidRPr="005F6876">
        <w:rPr>
          <w:rFonts w:asciiTheme="minorEastAsia" w:eastAsiaTheme="minorEastAsia" w:hAnsiTheme="minorEastAsia" w:hint="eastAsia"/>
          <w:sz w:val="24"/>
          <w:szCs w:val="24"/>
        </w:rPr>
        <w:t>差异无统</w:t>
      </w:r>
      <w:r w:rsidRPr="005F6876">
        <w:rPr>
          <w:rFonts w:asciiTheme="minorEastAsia" w:eastAsiaTheme="minorEastAsia" w:hAnsiTheme="minorEastAsia" w:cs="Calibri" w:hint="eastAsia"/>
          <w:sz w:val="24"/>
          <w:szCs w:val="24"/>
        </w:rPr>
        <w:t>计学意义</w:t>
      </w:r>
      <w:r w:rsidRPr="005F6876">
        <w:rPr>
          <w:rFonts w:asciiTheme="minorEastAsia" w:eastAsiaTheme="minorEastAsia" w:hAnsiTheme="minorEastAsia" w:cs="Calibri"/>
          <w:sz w:val="24"/>
          <w:szCs w:val="24"/>
        </w:rPr>
        <w:t>，具有可比性</w:t>
      </w:r>
      <w:r w:rsidRPr="005F6876">
        <w:rPr>
          <w:rFonts w:asciiTheme="minorEastAsia" w:eastAsiaTheme="minorEastAsia" w:hAnsiTheme="minorEastAsia" w:cs="Calibri" w:hint="eastAsia"/>
          <w:sz w:val="24"/>
          <w:szCs w:val="24"/>
        </w:rPr>
        <w:t>(</w:t>
      </w:r>
      <w:r w:rsidRPr="005F6876">
        <w:rPr>
          <w:rFonts w:asciiTheme="minorEastAsia" w:eastAsiaTheme="minorEastAsia" w:hAnsiTheme="minorEastAsia" w:cs="Calibri"/>
          <w:sz w:val="24"/>
          <w:szCs w:val="24"/>
        </w:rPr>
        <w:t>P&gt;0.05</w:t>
      </w:r>
      <w:r w:rsidRPr="005F6876">
        <w:rPr>
          <w:rFonts w:asciiTheme="minorEastAsia" w:eastAsiaTheme="minorEastAsia" w:hAnsiTheme="minorEastAsia" w:cs="Calibri" w:hint="eastAsia"/>
          <w:sz w:val="24"/>
          <w:szCs w:val="24"/>
        </w:rPr>
        <w:t>)</w:t>
      </w:r>
      <w:r w:rsidRPr="005F6876">
        <w:rPr>
          <w:rFonts w:asciiTheme="minorEastAsia" w:eastAsiaTheme="minorEastAsia" w:hAnsiTheme="minorEastAsia" w:cs="Calibri"/>
          <w:sz w:val="24"/>
          <w:szCs w:val="24"/>
        </w:rPr>
        <w:t>。</w:t>
      </w:r>
    </w:p>
    <w:p w:rsidR="00151ED2" w:rsidRPr="005F6876" w:rsidRDefault="00151ED2" w:rsidP="00151ED2">
      <w:pPr>
        <w:spacing w:after="0" w:line="360" w:lineRule="auto"/>
        <w:rPr>
          <w:rFonts w:asciiTheme="minorEastAsia" w:eastAsiaTheme="minorEastAsia" w:hAnsiTheme="minorEastAsia"/>
          <w:b/>
          <w:sz w:val="24"/>
          <w:szCs w:val="24"/>
        </w:rPr>
      </w:pPr>
      <w:r w:rsidRPr="005F6876">
        <w:rPr>
          <w:rFonts w:asciiTheme="minorEastAsia" w:eastAsiaTheme="minorEastAsia" w:hAnsiTheme="minorEastAsia"/>
          <w:b/>
          <w:sz w:val="24"/>
          <w:szCs w:val="24"/>
        </w:rPr>
        <w:t>1.2</w:t>
      </w:r>
      <w:r w:rsidRPr="005F6876">
        <w:rPr>
          <w:rFonts w:asciiTheme="minorEastAsia" w:eastAsiaTheme="minorEastAsia" w:hAnsiTheme="minorEastAsia" w:hint="eastAsia"/>
          <w:b/>
          <w:sz w:val="24"/>
          <w:szCs w:val="24"/>
        </w:rPr>
        <w:t xml:space="preserve">方法  </w:t>
      </w:r>
      <w:r w:rsidRPr="005F6876">
        <w:rPr>
          <w:rFonts w:asciiTheme="minorEastAsia" w:eastAsiaTheme="minorEastAsia" w:hAnsiTheme="minorEastAsia" w:hint="eastAsia"/>
          <w:sz w:val="24"/>
          <w:szCs w:val="24"/>
        </w:rPr>
        <w:t>全部患者入院后均积极对症支持治疗，其中对照组给予：降颅压、脱水、营养神经、抗感染等常规综合治疗，并积极检测患者生命体征变化。观察组患者在常规综合治疗的基础上加用单唾液酸四己糖神经节苷脂（20mg/支）治疗，40mg应用0.9%氯化钠溶液稀释后，静脉缓慢滴注。40mg/天，常规治疗2周。</w:t>
      </w:r>
    </w:p>
    <w:p w:rsidR="00151ED2" w:rsidRPr="005F6876" w:rsidRDefault="00151ED2" w:rsidP="00151ED2">
      <w:pPr>
        <w:pStyle w:val="a5"/>
        <w:snapToGrid w:val="0"/>
        <w:spacing w:line="360" w:lineRule="auto"/>
        <w:ind w:firstLineChars="0" w:firstLine="0"/>
        <w:rPr>
          <w:rFonts w:asciiTheme="minorEastAsia" w:hAnsiTheme="minorEastAsia"/>
          <w:sz w:val="24"/>
          <w:szCs w:val="24"/>
        </w:rPr>
      </w:pPr>
      <w:r w:rsidRPr="005F6876">
        <w:rPr>
          <w:rFonts w:asciiTheme="minorEastAsia" w:hAnsiTheme="minorEastAsia" w:hint="eastAsia"/>
          <w:b/>
          <w:sz w:val="24"/>
          <w:szCs w:val="24"/>
        </w:rPr>
        <w:t>1.3观察指标</w:t>
      </w:r>
      <w:r w:rsidRPr="005F6876">
        <w:rPr>
          <w:rFonts w:asciiTheme="minorEastAsia" w:hAnsiTheme="minorEastAsia" w:hint="eastAsia"/>
          <w:sz w:val="24"/>
          <w:szCs w:val="24"/>
        </w:rPr>
        <w:t xml:space="preserve">  观察全部患者治疗两周后，对比治疗前后</w:t>
      </w:r>
      <w:r w:rsidRPr="005F6876">
        <w:rPr>
          <w:rFonts w:asciiTheme="minorEastAsia" w:hAnsiTheme="minorEastAsia" w:cs="Calibri" w:hint="eastAsia"/>
          <w:sz w:val="24"/>
          <w:szCs w:val="24"/>
        </w:rPr>
        <w:t>神经系统恢复情况、GCS 评分差异</w:t>
      </w:r>
      <w:r w:rsidRPr="005F6876">
        <w:rPr>
          <w:rFonts w:asciiTheme="minorEastAsia" w:hAnsiTheme="minorEastAsia" w:hint="eastAsia"/>
          <w:sz w:val="24"/>
          <w:szCs w:val="24"/>
        </w:rPr>
        <w:t>。</w:t>
      </w:r>
      <w:r w:rsidRPr="005F6876">
        <w:rPr>
          <w:rFonts w:asciiTheme="minorEastAsia" w:hAnsiTheme="minorEastAsia" w:cs="Calibri" w:hint="eastAsia"/>
          <w:sz w:val="24"/>
          <w:szCs w:val="24"/>
        </w:rPr>
        <w:t>GCS 评分</w:t>
      </w:r>
      <w:r w:rsidRPr="005F6876">
        <w:rPr>
          <w:rFonts w:asciiTheme="minorEastAsia" w:hAnsiTheme="minorEastAsia"/>
          <w:sz w:val="24"/>
          <w:szCs w:val="24"/>
          <w:vertAlign w:val="superscript"/>
        </w:rPr>
        <w:t>[</w:t>
      </w:r>
      <w:r w:rsidRPr="005F6876">
        <w:rPr>
          <w:rFonts w:asciiTheme="minorEastAsia" w:hAnsiTheme="minorEastAsia" w:hint="eastAsia"/>
          <w:sz w:val="24"/>
          <w:szCs w:val="24"/>
          <w:vertAlign w:val="superscript"/>
        </w:rPr>
        <w:t>5</w:t>
      </w:r>
      <w:r w:rsidRPr="005F6876">
        <w:rPr>
          <w:rFonts w:asciiTheme="minorEastAsia" w:hAnsiTheme="minorEastAsia"/>
          <w:sz w:val="24"/>
          <w:szCs w:val="24"/>
          <w:vertAlign w:val="superscript"/>
        </w:rPr>
        <w:t>]</w:t>
      </w:r>
      <w:r w:rsidRPr="005F6876">
        <w:rPr>
          <w:rFonts w:asciiTheme="minorEastAsia" w:hAnsiTheme="minorEastAsia" w:cs="Calibri" w:hint="eastAsia"/>
          <w:sz w:val="24"/>
          <w:szCs w:val="24"/>
        </w:rPr>
        <w:t>：根据患者</w:t>
      </w:r>
      <w:r w:rsidRPr="005F6876">
        <w:rPr>
          <w:rFonts w:asciiTheme="minorEastAsia" w:hAnsiTheme="minorEastAsia" w:cs="Calibri"/>
          <w:sz w:val="24"/>
          <w:szCs w:val="24"/>
        </w:rPr>
        <w:t>有</w:t>
      </w:r>
      <w:r w:rsidRPr="005F6876">
        <w:rPr>
          <w:rFonts w:asciiTheme="minorEastAsia" w:hAnsiTheme="minorEastAsia" w:cs="Calibri" w:hint="eastAsia"/>
          <w:sz w:val="24"/>
          <w:szCs w:val="24"/>
        </w:rPr>
        <w:t>无</w:t>
      </w:r>
      <w:r w:rsidRPr="005F6876">
        <w:rPr>
          <w:rFonts w:asciiTheme="minorEastAsia" w:hAnsiTheme="minorEastAsia" w:cs="Calibri"/>
          <w:sz w:val="24"/>
          <w:szCs w:val="24"/>
        </w:rPr>
        <w:t>睁眼反应、语言反应和肢体运动三个方面</w:t>
      </w:r>
      <w:r w:rsidRPr="005F6876">
        <w:rPr>
          <w:rFonts w:asciiTheme="minorEastAsia" w:hAnsiTheme="minorEastAsia" w:cs="Calibri" w:hint="eastAsia"/>
          <w:sz w:val="24"/>
          <w:szCs w:val="24"/>
        </w:rPr>
        <w:t>进行评分。</w:t>
      </w:r>
      <w:r w:rsidRPr="005F6876">
        <w:rPr>
          <w:rFonts w:asciiTheme="minorEastAsia" w:hAnsiTheme="minorEastAsia"/>
          <w:sz w:val="24"/>
          <w:szCs w:val="24"/>
        </w:rPr>
        <w:t>轻度昏迷：13分到14分。中度昏迷：9分到12分。重度昏迷：3分到8分</w:t>
      </w:r>
      <w:r w:rsidRPr="005F6876">
        <w:rPr>
          <w:rFonts w:asciiTheme="minorEastAsia" w:hAnsiTheme="minorEastAsia" w:hint="eastAsia"/>
          <w:sz w:val="24"/>
          <w:szCs w:val="24"/>
        </w:rPr>
        <w:t>。</w:t>
      </w:r>
    </w:p>
    <w:p w:rsidR="00151ED2" w:rsidRPr="005F6876" w:rsidRDefault="00151ED2" w:rsidP="00151ED2">
      <w:pPr>
        <w:spacing w:after="0" w:line="360" w:lineRule="auto"/>
        <w:rPr>
          <w:rFonts w:asciiTheme="minorEastAsia" w:eastAsiaTheme="minorEastAsia" w:hAnsiTheme="minorEastAsia"/>
          <w:b/>
          <w:sz w:val="24"/>
          <w:szCs w:val="24"/>
        </w:rPr>
      </w:pPr>
      <w:r w:rsidRPr="005F6876">
        <w:rPr>
          <w:rFonts w:asciiTheme="minorEastAsia" w:eastAsiaTheme="minorEastAsia" w:hAnsiTheme="minorEastAsia" w:hint="eastAsia"/>
          <w:b/>
          <w:sz w:val="24"/>
          <w:szCs w:val="24"/>
        </w:rPr>
        <w:t>1.4</w:t>
      </w:r>
      <w:r w:rsidRPr="005F6876">
        <w:rPr>
          <w:rFonts w:asciiTheme="minorEastAsia" w:eastAsiaTheme="minorEastAsia" w:hAnsiTheme="minorEastAsia"/>
          <w:b/>
          <w:sz w:val="24"/>
          <w:szCs w:val="24"/>
        </w:rPr>
        <w:t>统计学方法</w:t>
      </w:r>
      <w:r w:rsidRPr="005F6876">
        <w:rPr>
          <w:rFonts w:asciiTheme="minorEastAsia" w:eastAsiaTheme="minorEastAsia" w:hAnsiTheme="minorEastAsia" w:hint="eastAsia"/>
          <w:b/>
          <w:sz w:val="24"/>
          <w:szCs w:val="24"/>
        </w:rPr>
        <w:t xml:space="preserve">  </w:t>
      </w:r>
      <w:r w:rsidRPr="005F6876">
        <w:rPr>
          <w:rFonts w:asciiTheme="minorEastAsia" w:eastAsiaTheme="minorEastAsia" w:hAnsiTheme="minorEastAsia" w:hint="eastAsia"/>
          <w:sz w:val="24"/>
          <w:szCs w:val="24"/>
        </w:rPr>
        <w:t>采用 SPSS 17.0软件对两组所得的数据进行统计分析，</w:t>
      </w:r>
      <w:r w:rsidRPr="005F6876">
        <w:rPr>
          <w:rFonts w:asciiTheme="minorEastAsia" w:eastAsiaTheme="minorEastAsia" w:hAnsiTheme="minorEastAsia"/>
          <w:sz w:val="24"/>
          <w:szCs w:val="24"/>
        </w:rPr>
        <w:t>一般资料用均数±标准差（</w:t>
      </w:r>
      <w:r w:rsidRPr="005F6876">
        <w:rPr>
          <w:rFonts w:asciiTheme="minorEastAsia" w:eastAsiaTheme="minorEastAsia" w:hAnsiTheme="minorEastAsia"/>
          <w:sz w:val="24"/>
          <w:szCs w:val="24"/>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6" o:title=""/>
          </v:shape>
          <o:OLEObject Type="Embed" ProgID="Equation.3" ShapeID="_x0000_i1025" DrawAspect="Content" ObjectID="_1459683839" r:id="rId7"/>
        </w:object>
      </w:r>
      <w:r w:rsidRPr="005F6876">
        <w:rPr>
          <w:rFonts w:asciiTheme="minorEastAsia" w:eastAsiaTheme="minorEastAsia" w:hAnsiTheme="minorEastAsia"/>
          <w:sz w:val="24"/>
          <w:szCs w:val="24"/>
        </w:rPr>
        <w:t>±s）</w:t>
      </w:r>
      <w:r w:rsidRPr="005F6876">
        <w:rPr>
          <w:rFonts w:asciiTheme="minorEastAsia" w:eastAsiaTheme="minorEastAsia" w:hAnsiTheme="minorEastAsia" w:hint="eastAsia"/>
          <w:sz w:val="24"/>
          <w:szCs w:val="24"/>
        </w:rPr>
        <w:t>的形式</w:t>
      </w:r>
      <w:r w:rsidRPr="005F6876">
        <w:rPr>
          <w:rFonts w:asciiTheme="minorEastAsia" w:eastAsiaTheme="minorEastAsia" w:hAnsiTheme="minorEastAsia"/>
          <w:sz w:val="24"/>
          <w:szCs w:val="24"/>
        </w:rPr>
        <w:t>表示，</w:t>
      </w:r>
      <w:r w:rsidRPr="005F6876">
        <w:rPr>
          <w:rFonts w:asciiTheme="minorEastAsia" w:eastAsiaTheme="minorEastAsia" w:hAnsiTheme="minorEastAsia" w:hint="eastAsia"/>
          <w:sz w:val="24"/>
          <w:szCs w:val="24"/>
        </w:rPr>
        <w:t>计量资料采用 t 检验，计数资料比较采用</w:t>
      </w:r>
      <w:r w:rsidRPr="005F6876">
        <w:rPr>
          <w:rFonts w:asciiTheme="minorEastAsia" w:eastAsiaTheme="minorEastAsia" w:hAnsiTheme="minorEastAsia"/>
          <w:sz w:val="24"/>
          <w:szCs w:val="24"/>
        </w:rPr>
        <w:sym w:font="Symbol" w:char="F063"/>
      </w:r>
      <w:r w:rsidRPr="005F6876">
        <w:rPr>
          <w:rFonts w:asciiTheme="minorEastAsia" w:eastAsiaTheme="minorEastAsia" w:hAnsiTheme="minorEastAsia" w:hint="eastAsia"/>
          <w:sz w:val="24"/>
          <w:szCs w:val="24"/>
        </w:rPr>
        <w:t>2检验，P ＜0.05 显示差异有统计学意义。</w:t>
      </w:r>
    </w:p>
    <w:p w:rsidR="00151ED2" w:rsidRPr="005F6876" w:rsidRDefault="00151ED2" w:rsidP="00151ED2">
      <w:pPr>
        <w:spacing w:after="0" w:line="360" w:lineRule="auto"/>
        <w:rPr>
          <w:rFonts w:asciiTheme="minorEastAsia" w:eastAsiaTheme="minorEastAsia" w:hAnsiTheme="minorEastAsia"/>
          <w:b/>
          <w:sz w:val="24"/>
          <w:szCs w:val="24"/>
        </w:rPr>
      </w:pPr>
      <w:r w:rsidRPr="005F6876">
        <w:rPr>
          <w:rFonts w:asciiTheme="minorEastAsia" w:eastAsiaTheme="minorEastAsia" w:hAnsiTheme="minorEastAsia" w:hint="eastAsia"/>
          <w:b/>
          <w:sz w:val="24"/>
          <w:szCs w:val="24"/>
        </w:rPr>
        <w:t xml:space="preserve">2 </w:t>
      </w:r>
      <w:r w:rsidRPr="005F6876">
        <w:rPr>
          <w:rFonts w:asciiTheme="minorEastAsia" w:eastAsiaTheme="minorEastAsia" w:hAnsiTheme="minorEastAsia"/>
          <w:b/>
          <w:sz w:val="24"/>
          <w:szCs w:val="24"/>
        </w:rPr>
        <w:t>结果</w:t>
      </w:r>
    </w:p>
    <w:p w:rsidR="00151ED2" w:rsidRPr="005F6876" w:rsidRDefault="00151ED2" w:rsidP="00151ED2">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sz w:val="24"/>
          <w:szCs w:val="24"/>
        </w:rPr>
        <w:t xml:space="preserve">2.1  </w:t>
      </w:r>
      <w:r w:rsidRPr="005F6876">
        <w:rPr>
          <w:rFonts w:asciiTheme="minorEastAsia" w:eastAsiaTheme="minorEastAsia" w:hAnsiTheme="minorEastAsia" w:hint="eastAsia"/>
          <w:sz w:val="24"/>
          <w:szCs w:val="24"/>
        </w:rPr>
        <w:t>两组患者治疗前后神经功能恢复情况比较情况详见表1。观察组患者治疗两周后，神经功能恢复情况评价优良率96.7%（优+良），明显高于对照组的85.0，两组比较差异有统计学意义（P&lt;0.05）。</w:t>
      </w:r>
    </w:p>
    <w:p w:rsidR="00151ED2" w:rsidRPr="005F6876" w:rsidRDefault="00151ED2" w:rsidP="00151ED2">
      <w:pPr>
        <w:spacing w:after="0" w:line="360" w:lineRule="auto"/>
        <w:jc w:val="center"/>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表1 两组患者治疗前后神经功能恢复情况比较情况</w:t>
      </w:r>
    </w:p>
    <w:tbl>
      <w:tblPr>
        <w:tblW w:w="8448" w:type="dxa"/>
        <w:jc w:val="center"/>
        <w:tblInd w:w="-770" w:type="dxa"/>
        <w:tblBorders>
          <w:top w:val="single" w:sz="12" w:space="0" w:color="auto"/>
          <w:bottom w:val="single" w:sz="12" w:space="0" w:color="auto"/>
          <w:insideH w:val="single" w:sz="8" w:space="0" w:color="auto"/>
        </w:tblBorders>
        <w:tblLook w:val="04A0"/>
      </w:tblPr>
      <w:tblGrid>
        <w:gridCol w:w="1260"/>
        <w:gridCol w:w="1440"/>
        <w:gridCol w:w="1264"/>
        <w:gridCol w:w="1507"/>
        <w:gridCol w:w="1440"/>
        <w:gridCol w:w="1537"/>
      </w:tblGrid>
      <w:tr w:rsidR="00151ED2" w:rsidRPr="005F6876" w:rsidTr="00DF45C4">
        <w:trPr>
          <w:trHeight w:val="310"/>
          <w:jc w:val="center"/>
        </w:trPr>
        <w:tc>
          <w:tcPr>
            <w:tcW w:w="1260" w:type="dxa"/>
            <w:tcBorders>
              <w:left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组别</w:t>
            </w:r>
          </w:p>
        </w:tc>
        <w:tc>
          <w:tcPr>
            <w:tcW w:w="1440" w:type="dxa"/>
            <w:tcBorders>
              <w:left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时间</w:t>
            </w:r>
          </w:p>
        </w:tc>
        <w:tc>
          <w:tcPr>
            <w:tcW w:w="1264" w:type="dxa"/>
            <w:tcBorders>
              <w:left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hint="eastAsia"/>
                <w:sz w:val="24"/>
                <w:szCs w:val="24"/>
              </w:rPr>
              <w:t>例数</w:t>
            </w:r>
          </w:p>
        </w:tc>
        <w:tc>
          <w:tcPr>
            <w:tcW w:w="1507" w:type="dxa"/>
            <w:tcBorders>
              <w:left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优（%）</w:t>
            </w:r>
          </w:p>
        </w:tc>
        <w:tc>
          <w:tcPr>
            <w:tcW w:w="1440" w:type="dxa"/>
            <w:tcBorders>
              <w:top w:val="single" w:sz="12" w:space="0" w:color="auto"/>
              <w:left w:val="single" w:sz="4" w:space="0" w:color="FFFFFF"/>
              <w:bottom w:val="single" w:sz="4" w:space="0" w:color="auto"/>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良（%）</w:t>
            </w:r>
          </w:p>
        </w:tc>
        <w:tc>
          <w:tcPr>
            <w:tcW w:w="1537" w:type="dxa"/>
            <w:tcBorders>
              <w:top w:val="single" w:sz="12" w:space="0" w:color="auto"/>
              <w:left w:val="single" w:sz="4" w:space="0" w:color="FFFFFF"/>
              <w:bottom w:val="single" w:sz="4" w:space="0" w:color="auto"/>
              <w:right w:val="single" w:sz="4" w:space="0" w:color="FFFFFF"/>
            </w:tcBorders>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差（%）</w:t>
            </w:r>
          </w:p>
        </w:tc>
      </w:tr>
      <w:tr w:rsidR="00151ED2" w:rsidRPr="005F6876" w:rsidTr="00DF45C4">
        <w:trPr>
          <w:trHeight w:val="874"/>
          <w:jc w:val="center"/>
        </w:trPr>
        <w:tc>
          <w:tcPr>
            <w:tcW w:w="1260" w:type="dxa"/>
            <w:tcBorders>
              <w:left w:val="single" w:sz="4" w:space="0" w:color="FFFFFF"/>
              <w:bottom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对照</w:t>
            </w:r>
            <w:r w:rsidRPr="005F6876">
              <w:rPr>
                <w:rFonts w:asciiTheme="minorEastAsia" w:eastAsiaTheme="minorEastAsia" w:hAnsiTheme="minorEastAsia" w:cs="Calibri"/>
                <w:sz w:val="24"/>
                <w:szCs w:val="24"/>
              </w:rPr>
              <w:t>组</w:t>
            </w:r>
          </w:p>
        </w:tc>
        <w:tc>
          <w:tcPr>
            <w:tcW w:w="1440" w:type="dxa"/>
            <w:tcBorders>
              <w:left w:val="single" w:sz="4" w:space="0" w:color="FFFFFF"/>
              <w:bottom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治疗前</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治疗后</w:t>
            </w:r>
          </w:p>
        </w:tc>
        <w:tc>
          <w:tcPr>
            <w:tcW w:w="1264" w:type="dxa"/>
            <w:tcBorders>
              <w:left w:val="single" w:sz="4" w:space="0" w:color="FFFFFF"/>
              <w:bottom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sz w:val="24"/>
                <w:szCs w:val="24"/>
              </w:rPr>
              <w:t>60</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60</w:t>
            </w:r>
          </w:p>
        </w:tc>
        <w:tc>
          <w:tcPr>
            <w:tcW w:w="1507" w:type="dxa"/>
            <w:tcBorders>
              <w:left w:val="single" w:sz="4" w:space="0" w:color="FFFFFF"/>
              <w:bottom w:val="single" w:sz="4" w:space="0" w:color="FFFFFF"/>
              <w:right w:val="single" w:sz="4" w:space="0" w:color="FFFFFF"/>
            </w:tcBorders>
            <w:shd w:val="clear" w:color="auto" w:fill="auto"/>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3（5.0）</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33（55.0）</w:t>
            </w:r>
          </w:p>
        </w:tc>
        <w:tc>
          <w:tcPr>
            <w:tcW w:w="1440" w:type="dxa"/>
            <w:tcBorders>
              <w:top w:val="single" w:sz="4" w:space="0" w:color="auto"/>
              <w:left w:val="single" w:sz="4" w:space="0" w:color="FFFFFF"/>
              <w:bottom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11（18.3）</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12（30.0）</w:t>
            </w:r>
          </w:p>
        </w:tc>
        <w:tc>
          <w:tcPr>
            <w:tcW w:w="1537" w:type="dxa"/>
            <w:tcBorders>
              <w:top w:val="single" w:sz="4" w:space="0" w:color="auto"/>
              <w:left w:val="single" w:sz="4" w:space="0" w:color="FFFFFF"/>
              <w:bottom w:val="single" w:sz="4" w:space="0" w:color="FFFFFF"/>
              <w:right w:val="single" w:sz="4" w:space="0" w:color="FFFFFF"/>
            </w:tcBorders>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46（76.7）</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15（25.0）</w:t>
            </w:r>
          </w:p>
        </w:tc>
      </w:tr>
      <w:tr w:rsidR="00151ED2" w:rsidRPr="005F6876" w:rsidTr="00DF45C4">
        <w:trPr>
          <w:trHeight w:val="925"/>
          <w:jc w:val="center"/>
        </w:trPr>
        <w:tc>
          <w:tcPr>
            <w:tcW w:w="1260" w:type="dxa"/>
            <w:tcBorders>
              <w:top w:val="single" w:sz="4" w:space="0" w:color="FFFFFF"/>
              <w:left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观察</w:t>
            </w:r>
            <w:r w:rsidRPr="005F6876">
              <w:rPr>
                <w:rFonts w:asciiTheme="minorEastAsia" w:eastAsiaTheme="minorEastAsia" w:hAnsiTheme="minorEastAsia" w:cs="Calibri"/>
                <w:sz w:val="24"/>
                <w:szCs w:val="24"/>
              </w:rPr>
              <w:t>组</w:t>
            </w:r>
          </w:p>
        </w:tc>
        <w:tc>
          <w:tcPr>
            <w:tcW w:w="1440" w:type="dxa"/>
            <w:tcBorders>
              <w:top w:val="single" w:sz="4" w:space="0" w:color="FFFFFF"/>
              <w:left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治疗前</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治疗后</w:t>
            </w:r>
          </w:p>
        </w:tc>
        <w:tc>
          <w:tcPr>
            <w:tcW w:w="1264" w:type="dxa"/>
            <w:tcBorders>
              <w:top w:val="single" w:sz="4" w:space="0" w:color="FFFFFF"/>
              <w:left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60</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60</w:t>
            </w:r>
          </w:p>
        </w:tc>
        <w:tc>
          <w:tcPr>
            <w:tcW w:w="1507" w:type="dxa"/>
            <w:tcBorders>
              <w:top w:val="single" w:sz="4" w:space="0" w:color="FFFFFF"/>
              <w:left w:val="single" w:sz="4" w:space="0" w:color="FFFFFF"/>
              <w:right w:val="single" w:sz="4" w:space="0" w:color="FFFFFF"/>
            </w:tcBorders>
            <w:shd w:val="clear" w:color="auto" w:fill="auto"/>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4（6.7）</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52（86.7）</w:t>
            </w:r>
            <w:r w:rsidRPr="005F6876">
              <w:rPr>
                <w:rFonts w:asciiTheme="minorEastAsia" w:eastAsiaTheme="minorEastAsia" w:hAnsiTheme="minorEastAsia" w:hint="eastAsia"/>
                <w:bCs/>
                <w:sz w:val="24"/>
                <w:szCs w:val="24"/>
                <w:vertAlign w:val="superscript"/>
              </w:rPr>
              <w:t>△</w:t>
            </w:r>
          </w:p>
        </w:tc>
        <w:tc>
          <w:tcPr>
            <w:tcW w:w="1440" w:type="dxa"/>
            <w:tcBorders>
              <w:top w:val="single" w:sz="4" w:space="0" w:color="FFFFFF"/>
              <w:left w:val="single" w:sz="4" w:space="0" w:color="FFFFFF"/>
              <w:bottom w:val="single" w:sz="12" w:space="0" w:color="auto"/>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16（26.7）</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6（10）</w:t>
            </w:r>
            <w:r w:rsidRPr="005F6876">
              <w:rPr>
                <w:rFonts w:asciiTheme="minorEastAsia" w:eastAsiaTheme="minorEastAsia" w:hAnsiTheme="minorEastAsia" w:hint="eastAsia"/>
                <w:bCs/>
                <w:sz w:val="24"/>
                <w:szCs w:val="24"/>
                <w:vertAlign w:val="superscript"/>
              </w:rPr>
              <w:t>△</w:t>
            </w:r>
          </w:p>
        </w:tc>
        <w:tc>
          <w:tcPr>
            <w:tcW w:w="1537" w:type="dxa"/>
            <w:tcBorders>
              <w:top w:val="single" w:sz="4" w:space="0" w:color="FFFFFF"/>
              <w:left w:val="single" w:sz="4" w:space="0" w:color="FFFFFF"/>
              <w:bottom w:val="single" w:sz="12" w:space="0" w:color="auto"/>
              <w:right w:val="single" w:sz="4" w:space="0" w:color="FFFFFF"/>
            </w:tcBorders>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40（66.6）</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2（3.3）</w:t>
            </w:r>
            <w:r w:rsidRPr="005F6876">
              <w:rPr>
                <w:rFonts w:asciiTheme="minorEastAsia" w:eastAsiaTheme="minorEastAsia" w:hAnsiTheme="minorEastAsia" w:hint="eastAsia"/>
                <w:bCs/>
                <w:sz w:val="24"/>
                <w:szCs w:val="24"/>
                <w:vertAlign w:val="superscript"/>
              </w:rPr>
              <w:t>△</w:t>
            </w:r>
          </w:p>
        </w:tc>
      </w:tr>
    </w:tbl>
    <w:p w:rsidR="00151ED2" w:rsidRPr="005F6876" w:rsidRDefault="00151ED2" w:rsidP="00151ED2">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cs="Calibri"/>
          <w:sz w:val="24"/>
          <w:szCs w:val="24"/>
        </w:rPr>
        <w:t>*</w:t>
      </w:r>
      <w:r w:rsidRPr="005F6876">
        <w:rPr>
          <w:rFonts w:asciiTheme="minorEastAsia" w:eastAsiaTheme="minorEastAsia" w:hAnsiTheme="minorEastAsia" w:cs="Calibri" w:hint="eastAsia"/>
          <w:sz w:val="24"/>
          <w:szCs w:val="24"/>
        </w:rPr>
        <w:t>注：与对照组相比</w:t>
      </w:r>
      <w:r w:rsidRPr="005F6876">
        <w:rPr>
          <w:rFonts w:asciiTheme="minorEastAsia" w:eastAsiaTheme="minorEastAsia" w:hAnsiTheme="minorEastAsia" w:cs="Calibri"/>
          <w:sz w:val="24"/>
          <w:szCs w:val="24"/>
        </w:rPr>
        <w:t>，</w:t>
      </w:r>
      <w:r w:rsidRPr="005F6876">
        <w:rPr>
          <w:rFonts w:asciiTheme="minorEastAsia" w:eastAsiaTheme="minorEastAsia" w:hAnsiTheme="minorEastAsia" w:hint="eastAsia"/>
          <w:bCs/>
          <w:sz w:val="24"/>
          <w:szCs w:val="24"/>
          <w:vertAlign w:val="superscript"/>
        </w:rPr>
        <w:t>△</w:t>
      </w:r>
      <w:r w:rsidRPr="005F6876">
        <w:rPr>
          <w:rFonts w:asciiTheme="minorEastAsia" w:eastAsiaTheme="minorEastAsia" w:hAnsiTheme="minorEastAsia" w:cs="Calibri"/>
          <w:i/>
          <w:sz w:val="24"/>
          <w:szCs w:val="24"/>
        </w:rPr>
        <w:t>P</w:t>
      </w:r>
      <w:r w:rsidRPr="005F6876">
        <w:rPr>
          <w:rFonts w:asciiTheme="minorEastAsia" w:eastAsiaTheme="minorEastAsia" w:hAnsiTheme="minorEastAsia" w:cs="Calibri" w:hint="eastAsia"/>
          <w:sz w:val="24"/>
          <w:szCs w:val="24"/>
        </w:rPr>
        <w:t>＜</w:t>
      </w:r>
      <w:r w:rsidRPr="005F6876">
        <w:rPr>
          <w:rFonts w:asciiTheme="minorEastAsia" w:eastAsiaTheme="minorEastAsia" w:hAnsiTheme="minorEastAsia" w:cs="Calibri"/>
          <w:sz w:val="24"/>
          <w:szCs w:val="24"/>
        </w:rPr>
        <w:t>0.05</w:t>
      </w:r>
      <w:r w:rsidRPr="005F6876">
        <w:rPr>
          <w:rFonts w:asciiTheme="minorEastAsia" w:eastAsiaTheme="minorEastAsia" w:hAnsiTheme="minorEastAsia" w:cs="Calibri" w:hint="eastAsia"/>
          <w:sz w:val="24"/>
          <w:szCs w:val="24"/>
        </w:rPr>
        <w:t>。</w:t>
      </w:r>
    </w:p>
    <w:p w:rsidR="00151ED2" w:rsidRPr="005F6876" w:rsidRDefault="00151ED2" w:rsidP="00151ED2">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sz w:val="24"/>
          <w:szCs w:val="24"/>
        </w:rPr>
        <w:t xml:space="preserve">2.2 </w:t>
      </w:r>
      <w:r w:rsidRPr="005F6876">
        <w:rPr>
          <w:rFonts w:asciiTheme="minorEastAsia" w:eastAsiaTheme="minorEastAsia" w:hAnsiTheme="minorEastAsia" w:hint="eastAsia"/>
          <w:sz w:val="24"/>
          <w:szCs w:val="24"/>
        </w:rPr>
        <w:t xml:space="preserve"> 两组患者治疗前后</w:t>
      </w:r>
      <w:r w:rsidRPr="005F6876">
        <w:rPr>
          <w:rFonts w:asciiTheme="minorEastAsia" w:eastAsiaTheme="minorEastAsia" w:hAnsiTheme="minorEastAsia" w:cs="Calibri" w:hint="eastAsia"/>
          <w:sz w:val="24"/>
          <w:szCs w:val="24"/>
        </w:rPr>
        <w:t>GCS 评分</w:t>
      </w:r>
      <w:r w:rsidRPr="005F6876">
        <w:rPr>
          <w:rFonts w:asciiTheme="minorEastAsia" w:eastAsiaTheme="minorEastAsia" w:hAnsiTheme="minorEastAsia" w:hint="eastAsia"/>
          <w:sz w:val="24"/>
          <w:szCs w:val="24"/>
        </w:rPr>
        <w:t>比较情况详见表2. 观察组患者治疗两周后，</w:t>
      </w:r>
      <w:r w:rsidRPr="005F6876">
        <w:rPr>
          <w:rFonts w:asciiTheme="minorEastAsia" w:eastAsiaTheme="minorEastAsia" w:hAnsiTheme="minorEastAsia" w:cs="Calibri" w:hint="eastAsia"/>
          <w:sz w:val="24"/>
          <w:szCs w:val="24"/>
        </w:rPr>
        <w:t>GCS 评分（9.6</w:t>
      </w:r>
      <w:r w:rsidRPr="005F6876">
        <w:rPr>
          <w:rFonts w:asciiTheme="minorEastAsia" w:eastAsiaTheme="minorEastAsia" w:hAnsiTheme="minorEastAsia" w:cs="Calibri"/>
          <w:sz w:val="24"/>
          <w:szCs w:val="24"/>
        </w:rPr>
        <w:t>±</w:t>
      </w:r>
      <w:r w:rsidRPr="005F6876">
        <w:rPr>
          <w:rFonts w:asciiTheme="minorEastAsia" w:eastAsiaTheme="minorEastAsia" w:hAnsiTheme="minorEastAsia" w:cs="Calibri" w:hint="eastAsia"/>
          <w:sz w:val="24"/>
          <w:szCs w:val="24"/>
        </w:rPr>
        <w:t>1.4）分</w:t>
      </w:r>
      <w:r w:rsidRPr="005F6876">
        <w:rPr>
          <w:rFonts w:asciiTheme="minorEastAsia" w:eastAsiaTheme="minorEastAsia" w:hAnsiTheme="minorEastAsia" w:hint="eastAsia"/>
          <w:sz w:val="24"/>
          <w:szCs w:val="24"/>
        </w:rPr>
        <w:t>，明显高于对照组的（</w:t>
      </w:r>
      <w:r w:rsidRPr="005F6876">
        <w:rPr>
          <w:rFonts w:asciiTheme="minorEastAsia" w:eastAsiaTheme="minorEastAsia" w:hAnsiTheme="minorEastAsia" w:cs="Calibri" w:hint="eastAsia"/>
          <w:sz w:val="24"/>
          <w:szCs w:val="24"/>
        </w:rPr>
        <w:t>8.1</w:t>
      </w:r>
      <w:r w:rsidRPr="005F6876">
        <w:rPr>
          <w:rFonts w:asciiTheme="minorEastAsia" w:eastAsiaTheme="minorEastAsia" w:hAnsiTheme="minorEastAsia" w:cs="Calibri"/>
          <w:sz w:val="24"/>
          <w:szCs w:val="24"/>
        </w:rPr>
        <w:t>±</w:t>
      </w:r>
      <w:r w:rsidRPr="005F6876">
        <w:rPr>
          <w:rFonts w:asciiTheme="minorEastAsia" w:eastAsiaTheme="minorEastAsia" w:hAnsiTheme="minorEastAsia" w:cs="Calibri" w:hint="eastAsia"/>
          <w:sz w:val="24"/>
          <w:szCs w:val="24"/>
        </w:rPr>
        <w:t>1.1</w:t>
      </w:r>
      <w:r w:rsidRPr="005F6876">
        <w:rPr>
          <w:rFonts w:asciiTheme="minorEastAsia" w:eastAsiaTheme="minorEastAsia" w:hAnsiTheme="minorEastAsia" w:hint="eastAsia"/>
          <w:sz w:val="24"/>
          <w:szCs w:val="24"/>
        </w:rPr>
        <w:t>），两组比较差异有统计学意义（P&lt;0.05）。</w:t>
      </w:r>
    </w:p>
    <w:p w:rsidR="00151ED2" w:rsidRPr="005F6876" w:rsidRDefault="00151ED2" w:rsidP="00151ED2">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lastRenderedPageBreak/>
        <w:t xml:space="preserve">表2 </w:t>
      </w:r>
      <w:r w:rsidRPr="005F6876">
        <w:rPr>
          <w:rFonts w:asciiTheme="minorEastAsia" w:eastAsiaTheme="minorEastAsia" w:hAnsiTheme="minorEastAsia" w:hint="eastAsia"/>
          <w:sz w:val="24"/>
          <w:szCs w:val="24"/>
        </w:rPr>
        <w:t>两组患者治疗前后</w:t>
      </w:r>
      <w:r w:rsidRPr="005F6876">
        <w:rPr>
          <w:rFonts w:asciiTheme="minorEastAsia" w:eastAsiaTheme="minorEastAsia" w:hAnsiTheme="minorEastAsia" w:cs="Calibri" w:hint="eastAsia"/>
          <w:sz w:val="24"/>
          <w:szCs w:val="24"/>
        </w:rPr>
        <w:t>GCS 评分</w:t>
      </w:r>
      <w:r w:rsidRPr="005F6876">
        <w:rPr>
          <w:rFonts w:asciiTheme="minorEastAsia" w:eastAsiaTheme="minorEastAsia" w:hAnsiTheme="minorEastAsia" w:hint="eastAsia"/>
          <w:sz w:val="24"/>
          <w:szCs w:val="24"/>
        </w:rPr>
        <w:t>比较情况</w:t>
      </w:r>
    </w:p>
    <w:tbl>
      <w:tblPr>
        <w:tblW w:w="8284" w:type="dxa"/>
        <w:jc w:val="center"/>
        <w:tblInd w:w="-1105" w:type="dxa"/>
        <w:tblBorders>
          <w:top w:val="single" w:sz="12" w:space="0" w:color="auto"/>
          <w:bottom w:val="single" w:sz="12" w:space="0" w:color="auto"/>
          <w:insideH w:val="single" w:sz="8" w:space="0" w:color="auto"/>
        </w:tblBorders>
        <w:tblLook w:val="04A0"/>
      </w:tblPr>
      <w:tblGrid>
        <w:gridCol w:w="1677"/>
        <w:gridCol w:w="1949"/>
        <w:gridCol w:w="2193"/>
        <w:gridCol w:w="2465"/>
      </w:tblGrid>
      <w:tr w:rsidR="00151ED2" w:rsidRPr="005F6876" w:rsidTr="00DF45C4">
        <w:trPr>
          <w:trHeight w:val="310"/>
          <w:jc w:val="center"/>
        </w:trPr>
        <w:tc>
          <w:tcPr>
            <w:tcW w:w="1677" w:type="dxa"/>
            <w:tcBorders>
              <w:left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组别</w:t>
            </w:r>
          </w:p>
        </w:tc>
        <w:tc>
          <w:tcPr>
            <w:tcW w:w="1949" w:type="dxa"/>
            <w:tcBorders>
              <w:left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时间</w:t>
            </w:r>
          </w:p>
        </w:tc>
        <w:tc>
          <w:tcPr>
            <w:tcW w:w="2193" w:type="dxa"/>
            <w:tcBorders>
              <w:left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hint="eastAsia"/>
                <w:sz w:val="24"/>
                <w:szCs w:val="24"/>
              </w:rPr>
              <w:t>例数</w:t>
            </w:r>
          </w:p>
        </w:tc>
        <w:tc>
          <w:tcPr>
            <w:tcW w:w="2465" w:type="dxa"/>
            <w:tcBorders>
              <w:left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GCS 评分</w:t>
            </w:r>
          </w:p>
        </w:tc>
      </w:tr>
      <w:tr w:rsidR="00151ED2" w:rsidRPr="005F6876" w:rsidTr="00DF45C4">
        <w:trPr>
          <w:trHeight w:val="1021"/>
          <w:jc w:val="center"/>
        </w:trPr>
        <w:tc>
          <w:tcPr>
            <w:tcW w:w="1677" w:type="dxa"/>
            <w:tcBorders>
              <w:left w:val="single" w:sz="4" w:space="0" w:color="FFFFFF"/>
              <w:bottom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对照</w:t>
            </w:r>
            <w:r w:rsidRPr="005F6876">
              <w:rPr>
                <w:rFonts w:asciiTheme="minorEastAsia" w:eastAsiaTheme="minorEastAsia" w:hAnsiTheme="minorEastAsia" w:cs="Calibri"/>
                <w:sz w:val="24"/>
                <w:szCs w:val="24"/>
              </w:rPr>
              <w:t>组</w:t>
            </w:r>
          </w:p>
        </w:tc>
        <w:tc>
          <w:tcPr>
            <w:tcW w:w="1949" w:type="dxa"/>
            <w:tcBorders>
              <w:left w:val="single" w:sz="4" w:space="0" w:color="FFFFFF"/>
              <w:bottom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治疗前</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治疗后</w:t>
            </w:r>
          </w:p>
        </w:tc>
        <w:tc>
          <w:tcPr>
            <w:tcW w:w="2193" w:type="dxa"/>
            <w:tcBorders>
              <w:left w:val="single" w:sz="4" w:space="0" w:color="FFFFFF"/>
              <w:bottom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sz w:val="24"/>
                <w:szCs w:val="24"/>
              </w:rPr>
              <w:t>60</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60</w:t>
            </w:r>
          </w:p>
        </w:tc>
        <w:tc>
          <w:tcPr>
            <w:tcW w:w="2465" w:type="dxa"/>
            <w:tcBorders>
              <w:left w:val="single" w:sz="4" w:space="0" w:color="FFFFFF"/>
              <w:bottom w:val="single" w:sz="4" w:space="0" w:color="FFFFFF"/>
              <w:right w:val="single" w:sz="4" w:space="0" w:color="FFFFFF"/>
            </w:tcBorders>
            <w:shd w:val="clear" w:color="auto" w:fill="auto"/>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6.3±1.2 8.1</w:t>
            </w:r>
            <w:r w:rsidRPr="005F6876">
              <w:rPr>
                <w:rFonts w:asciiTheme="minorEastAsia" w:eastAsiaTheme="minorEastAsia" w:hAnsiTheme="minorEastAsia" w:cs="Calibri"/>
                <w:sz w:val="24"/>
                <w:szCs w:val="24"/>
              </w:rPr>
              <w:t>±</w:t>
            </w:r>
            <w:r w:rsidRPr="005F6876">
              <w:rPr>
                <w:rFonts w:asciiTheme="minorEastAsia" w:eastAsiaTheme="minorEastAsia" w:hAnsiTheme="minorEastAsia" w:cs="Calibri" w:hint="eastAsia"/>
                <w:sz w:val="24"/>
                <w:szCs w:val="24"/>
              </w:rPr>
              <w:t>1.1</w:t>
            </w:r>
          </w:p>
        </w:tc>
      </w:tr>
      <w:tr w:rsidR="00151ED2" w:rsidRPr="005F6876" w:rsidTr="00DF45C4">
        <w:trPr>
          <w:trHeight w:val="1087"/>
          <w:jc w:val="center"/>
        </w:trPr>
        <w:tc>
          <w:tcPr>
            <w:tcW w:w="1677" w:type="dxa"/>
            <w:tcBorders>
              <w:top w:val="single" w:sz="4" w:space="0" w:color="FFFFFF"/>
              <w:left w:val="single" w:sz="4" w:space="0" w:color="FFFFFF"/>
              <w:right w:val="single" w:sz="4" w:space="0" w:color="FFFFFF"/>
            </w:tcBorders>
            <w:shd w:val="clear" w:color="auto" w:fill="auto"/>
            <w:vAlign w:val="center"/>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观察</w:t>
            </w:r>
            <w:r w:rsidRPr="005F6876">
              <w:rPr>
                <w:rFonts w:asciiTheme="minorEastAsia" w:eastAsiaTheme="minorEastAsia" w:hAnsiTheme="minorEastAsia" w:cs="Calibri"/>
                <w:sz w:val="24"/>
                <w:szCs w:val="24"/>
              </w:rPr>
              <w:t>组</w:t>
            </w:r>
          </w:p>
        </w:tc>
        <w:tc>
          <w:tcPr>
            <w:tcW w:w="1949" w:type="dxa"/>
            <w:tcBorders>
              <w:top w:val="single" w:sz="4" w:space="0" w:color="FFFFFF"/>
              <w:left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治疗前</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治疗后</w:t>
            </w:r>
          </w:p>
        </w:tc>
        <w:tc>
          <w:tcPr>
            <w:tcW w:w="2193" w:type="dxa"/>
            <w:tcBorders>
              <w:top w:val="single" w:sz="4" w:space="0" w:color="FFFFFF"/>
              <w:left w:val="single" w:sz="4" w:space="0" w:color="FFFFFF"/>
              <w:right w:val="single" w:sz="4" w:space="0" w:color="FFFFFF"/>
            </w:tcBorders>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60</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60</w:t>
            </w:r>
          </w:p>
        </w:tc>
        <w:tc>
          <w:tcPr>
            <w:tcW w:w="2465" w:type="dxa"/>
            <w:tcBorders>
              <w:top w:val="single" w:sz="4" w:space="0" w:color="FFFFFF"/>
              <w:left w:val="single" w:sz="4" w:space="0" w:color="FFFFFF"/>
              <w:right w:val="single" w:sz="4" w:space="0" w:color="FFFFFF"/>
            </w:tcBorders>
            <w:shd w:val="clear" w:color="auto" w:fill="auto"/>
          </w:tcPr>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6.4</w:t>
            </w:r>
            <w:r w:rsidRPr="005F6876">
              <w:rPr>
                <w:rFonts w:asciiTheme="minorEastAsia" w:eastAsiaTheme="minorEastAsia" w:hAnsiTheme="minorEastAsia" w:cs="Calibri"/>
                <w:sz w:val="24"/>
                <w:szCs w:val="24"/>
              </w:rPr>
              <w:t>±1</w:t>
            </w:r>
            <w:r w:rsidRPr="005F6876">
              <w:rPr>
                <w:rFonts w:asciiTheme="minorEastAsia" w:eastAsiaTheme="minorEastAsia" w:hAnsiTheme="minorEastAsia" w:cs="Calibri" w:hint="eastAsia"/>
                <w:sz w:val="24"/>
                <w:szCs w:val="24"/>
              </w:rPr>
              <w:t>.3</w:t>
            </w:r>
          </w:p>
          <w:p w:rsidR="00151ED2" w:rsidRPr="005F6876" w:rsidRDefault="00151ED2" w:rsidP="00DF45C4">
            <w:pPr>
              <w:spacing w:after="0" w:line="360" w:lineRule="auto"/>
              <w:jc w:val="center"/>
              <w:rPr>
                <w:rFonts w:asciiTheme="minorEastAsia" w:eastAsiaTheme="minorEastAsia" w:hAnsiTheme="minorEastAsia" w:cs="Calibri"/>
                <w:sz w:val="24"/>
                <w:szCs w:val="24"/>
              </w:rPr>
            </w:pPr>
            <w:r w:rsidRPr="005F6876">
              <w:rPr>
                <w:rFonts w:asciiTheme="minorEastAsia" w:eastAsiaTheme="minorEastAsia" w:hAnsiTheme="minorEastAsia" w:cs="Calibri" w:hint="eastAsia"/>
                <w:sz w:val="24"/>
                <w:szCs w:val="24"/>
              </w:rPr>
              <w:t>9.6</w:t>
            </w:r>
            <w:r w:rsidRPr="005F6876">
              <w:rPr>
                <w:rFonts w:asciiTheme="minorEastAsia" w:eastAsiaTheme="minorEastAsia" w:hAnsiTheme="minorEastAsia" w:cs="Calibri"/>
                <w:sz w:val="24"/>
                <w:szCs w:val="24"/>
              </w:rPr>
              <w:t>±</w:t>
            </w:r>
            <w:r w:rsidRPr="005F6876">
              <w:rPr>
                <w:rFonts w:asciiTheme="minorEastAsia" w:eastAsiaTheme="minorEastAsia" w:hAnsiTheme="minorEastAsia" w:cs="Calibri" w:hint="eastAsia"/>
                <w:sz w:val="24"/>
                <w:szCs w:val="24"/>
              </w:rPr>
              <w:t>1.4</w:t>
            </w:r>
            <w:r w:rsidRPr="005F6876">
              <w:rPr>
                <w:rFonts w:asciiTheme="minorEastAsia" w:eastAsiaTheme="minorEastAsia" w:hAnsiTheme="minorEastAsia" w:hint="eastAsia"/>
                <w:bCs/>
                <w:sz w:val="24"/>
                <w:szCs w:val="24"/>
                <w:vertAlign w:val="superscript"/>
              </w:rPr>
              <w:t>△</w:t>
            </w:r>
          </w:p>
        </w:tc>
      </w:tr>
    </w:tbl>
    <w:p w:rsidR="00151ED2" w:rsidRPr="005F6876" w:rsidRDefault="00151ED2" w:rsidP="00151ED2">
      <w:pPr>
        <w:spacing w:after="0" w:line="360" w:lineRule="auto"/>
        <w:ind w:firstLineChars="200" w:firstLine="480"/>
        <w:rPr>
          <w:rFonts w:asciiTheme="minorEastAsia" w:eastAsiaTheme="minorEastAsia" w:hAnsiTheme="minorEastAsia" w:cs="Calibri"/>
          <w:sz w:val="24"/>
          <w:szCs w:val="24"/>
        </w:rPr>
      </w:pPr>
      <w:r w:rsidRPr="005F6876">
        <w:rPr>
          <w:rFonts w:asciiTheme="minorEastAsia" w:eastAsiaTheme="minorEastAsia" w:hAnsiTheme="minorEastAsia" w:cs="Calibri"/>
          <w:sz w:val="24"/>
          <w:szCs w:val="24"/>
        </w:rPr>
        <w:t>*</w:t>
      </w:r>
      <w:r w:rsidRPr="005F6876">
        <w:rPr>
          <w:rFonts w:asciiTheme="minorEastAsia" w:eastAsiaTheme="minorEastAsia" w:hAnsiTheme="minorEastAsia" w:cs="Calibri" w:hint="eastAsia"/>
          <w:sz w:val="24"/>
          <w:szCs w:val="24"/>
        </w:rPr>
        <w:t>注：与对照组相比</w:t>
      </w:r>
      <w:r w:rsidRPr="005F6876">
        <w:rPr>
          <w:rFonts w:asciiTheme="minorEastAsia" w:eastAsiaTheme="minorEastAsia" w:hAnsiTheme="minorEastAsia" w:cs="Calibri"/>
          <w:sz w:val="24"/>
          <w:szCs w:val="24"/>
        </w:rPr>
        <w:t>，</w:t>
      </w:r>
      <w:r w:rsidRPr="005F6876">
        <w:rPr>
          <w:rFonts w:asciiTheme="minorEastAsia" w:eastAsiaTheme="minorEastAsia" w:hAnsiTheme="minorEastAsia" w:hint="eastAsia"/>
          <w:bCs/>
          <w:sz w:val="24"/>
          <w:szCs w:val="24"/>
          <w:vertAlign w:val="superscript"/>
        </w:rPr>
        <w:t>△</w:t>
      </w:r>
      <w:r w:rsidRPr="005F6876">
        <w:rPr>
          <w:rFonts w:asciiTheme="minorEastAsia" w:eastAsiaTheme="minorEastAsia" w:hAnsiTheme="minorEastAsia" w:cs="Calibri"/>
          <w:i/>
          <w:sz w:val="24"/>
          <w:szCs w:val="24"/>
        </w:rPr>
        <w:t>P</w:t>
      </w:r>
      <w:r w:rsidRPr="005F6876">
        <w:rPr>
          <w:rFonts w:asciiTheme="minorEastAsia" w:eastAsiaTheme="minorEastAsia" w:hAnsiTheme="minorEastAsia" w:cs="Calibri" w:hint="eastAsia"/>
          <w:sz w:val="24"/>
          <w:szCs w:val="24"/>
        </w:rPr>
        <w:t>＜</w:t>
      </w:r>
      <w:r w:rsidRPr="005F6876">
        <w:rPr>
          <w:rFonts w:asciiTheme="minorEastAsia" w:eastAsiaTheme="minorEastAsia" w:hAnsiTheme="minorEastAsia" w:cs="Calibri"/>
          <w:sz w:val="24"/>
          <w:szCs w:val="24"/>
        </w:rPr>
        <w:t>0.05</w:t>
      </w:r>
      <w:r w:rsidRPr="005F6876">
        <w:rPr>
          <w:rFonts w:asciiTheme="minorEastAsia" w:eastAsiaTheme="minorEastAsia" w:hAnsiTheme="minorEastAsia" w:cs="Calibri" w:hint="eastAsia"/>
          <w:sz w:val="24"/>
          <w:szCs w:val="24"/>
        </w:rPr>
        <w:t>。</w:t>
      </w:r>
    </w:p>
    <w:p w:rsidR="00151ED2" w:rsidRPr="005F6876" w:rsidRDefault="00151ED2" w:rsidP="00151ED2">
      <w:pPr>
        <w:spacing w:after="0" w:line="360" w:lineRule="auto"/>
        <w:rPr>
          <w:rFonts w:asciiTheme="minorEastAsia" w:eastAsiaTheme="minorEastAsia" w:hAnsiTheme="minorEastAsia"/>
          <w:b/>
          <w:sz w:val="24"/>
          <w:szCs w:val="24"/>
        </w:rPr>
      </w:pPr>
      <w:r w:rsidRPr="005F6876">
        <w:rPr>
          <w:rFonts w:asciiTheme="minorEastAsia" w:eastAsiaTheme="minorEastAsia" w:hAnsiTheme="minorEastAsia"/>
          <w:b/>
          <w:sz w:val="24"/>
          <w:szCs w:val="24"/>
        </w:rPr>
        <w:t xml:space="preserve">3 </w:t>
      </w:r>
      <w:r w:rsidRPr="005F6876">
        <w:rPr>
          <w:rFonts w:asciiTheme="minorEastAsia" w:eastAsiaTheme="minorEastAsia" w:hAnsiTheme="minorEastAsia" w:hint="eastAsia"/>
          <w:b/>
          <w:sz w:val="24"/>
          <w:szCs w:val="24"/>
        </w:rPr>
        <w:t>讨论</w:t>
      </w:r>
    </w:p>
    <w:p w:rsidR="00151ED2" w:rsidRPr="005F6876" w:rsidRDefault="00151ED2" w:rsidP="00151ED2">
      <w:pPr>
        <w:spacing w:after="0" w:line="360" w:lineRule="auto"/>
        <w:ind w:firstLine="480"/>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急性期颅脑损伤可导致脑组织损伤、脑细胞水肿，如不能在短时间形成有效血液灌注，长时间缺血后易致神经受损，即使挽回生命，也会出现各种各样的残疾</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vertAlign w:val="superscript"/>
        </w:rPr>
        <w:t>6</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rPr>
        <w:t>。因此，早期有效的治疗脑损伤及脑水肿，可明显提高急性期颅脑损伤患者的临床治愈率，对患者远期神经功能的恢复也就有重大意义。单唾液酸四己糖神经节苷脂是一种含有唾液酸的鞘糖脂，可有效促进神经元的生长、分化。因此，急性期颅脑损伤患者应用单唾液酸四己糖神经节苷脂可以有效的保护脑损伤后脑组织的进一步受损</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vertAlign w:val="superscript"/>
        </w:rPr>
        <w:t>7</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rPr>
        <w:t>。</w:t>
      </w:r>
    </w:p>
    <w:p w:rsidR="00151ED2" w:rsidRPr="005F6876" w:rsidRDefault="00151ED2" w:rsidP="00151ED2">
      <w:pPr>
        <w:spacing w:after="0" w:line="360" w:lineRule="auto"/>
        <w:ind w:firstLine="480"/>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通过本文的研究可以发现，急性期颅脑损伤患者在早期给予单唾液酸四己糖神经节苷脂治疗的患者，其治疗一个疗程（2周）后，其神经功能恢复情况明显好于未应用单唾液酸四己糖神经节苷脂的患者。对于治疗后的患者进行</w:t>
      </w:r>
      <w:r w:rsidRPr="005F6876">
        <w:rPr>
          <w:rFonts w:asciiTheme="minorEastAsia" w:eastAsiaTheme="minorEastAsia" w:hAnsiTheme="minorEastAsia"/>
          <w:sz w:val="24"/>
          <w:szCs w:val="24"/>
        </w:rPr>
        <w:t>格拉斯哥昏迷指数评估</w:t>
      </w:r>
      <w:r w:rsidRPr="005F6876">
        <w:rPr>
          <w:rFonts w:asciiTheme="minorEastAsia" w:eastAsiaTheme="minorEastAsia" w:hAnsiTheme="minorEastAsia" w:hint="eastAsia"/>
          <w:sz w:val="24"/>
          <w:szCs w:val="24"/>
        </w:rPr>
        <w:t>，应用单唾液酸四己糖神经节苷脂治疗的患者评分明显高于未应用的患者。有研究证实，外源性单唾液酸四己糖神经节苷脂能保护或恢复神经细胞膜的酶活性，维持膜内外离子平衡，减轻水肿及减少自由基生成，最大限度减低神经元和胶质细胞的膜功能障碍和变性，从而减轻脑水肿并阻断继发性脑损伤</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vertAlign w:val="superscript"/>
        </w:rPr>
        <w:t>8-9</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rPr>
        <w:t>。</w:t>
      </w:r>
    </w:p>
    <w:p w:rsidR="00151ED2" w:rsidRPr="005F6876" w:rsidRDefault="00151ED2" w:rsidP="00151ED2">
      <w:pPr>
        <w:spacing w:after="0" w:line="360" w:lineRule="auto"/>
        <w:ind w:firstLine="480"/>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综上所述，单唾液酸四己糖神经节苷脂可有效提高急性期颅脑损伤患者的神经功能恢复情况，并可有效保护患者的受损神经，值得临床上进一步推广应用。</w:t>
      </w:r>
    </w:p>
    <w:p w:rsidR="00151ED2" w:rsidRPr="005F6876" w:rsidRDefault="00151ED2" w:rsidP="00151ED2">
      <w:pPr>
        <w:spacing w:after="0" w:line="360" w:lineRule="auto"/>
        <w:jc w:val="center"/>
        <w:rPr>
          <w:rFonts w:asciiTheme="minorEastAsia" w:eastAsiaTheme="minorEastAsia" w:hAnsiTheme="minorEastAsia"/>
          <w:b/>
          <w:sz w:val="24"/>
          <w:szCs w:val="24"/>
        </w:rPr>
      </w:pPr>
      <w:r w:rsidRPr="005F6876">
        <w:rPr>
          <w:rFonts w:asciiTheme="minorEastAsia" w:eastAsiaTheme="minorEastAsia" w:hAnsiTheme="minorEastAsia" w:hint="eastAsia"/>
          <w:b/>
          <w:sz w:val="24"/>
          <w:szCs w:val="24"/>
        </w:rPr>
        <w:t>参考文献</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[1]孟凯.早期应用单唾液酸四己糖神经节苷脂治疗急性期颅脑损伤临床观察[J].现代中西医结合杂志,2013,22(1):63-64.</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lastRenderedPageBreak/>
        <w:t>[2]李小强,陈莉峰.单唾液酸四己糖神经节苷脂钠治疗脑卒中的疗效观察[J].河北医药 ,2013,(18):2805-2806.</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[3]欧阳强,韦英海,吴振宏等.单唾液酸四己糖神经节苷脂钠注射液联合银杏叶注射液治疗血管性痴呆的疗效观察[J].中外医学研究 ,2013,(35):54-54,55.</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[4]夏德雨,李巍,吴正成等.单唾液酸四己糖神经节苷脂对脑出血后神经功能恢复的应用价值[J].中国实用神经疾病杂志,2013,16(14):15-16.</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[5]姚恺,邬军锋,杨晓波等.神经保护剂治疗急性脑梗死患者的疗效及安全性[J].中国老年学杂志,2012,32(19):4137-4139.</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[6]瞿剑峰,乔叶红,黄杰等.单唾液酸四己糖神经节苷脂治疗急性脑出血[J].神经病学与神经康复学杂志,2012,9(3):118-120.</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[7]阙永康.单唾液酸四己糖神经节苷脂联合阿司匹林治疗急性脑梗死疗效观察[J].临床军医杂志,2012,40(6):1445-1447.</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[8]洪章烈,夏明武,徐文安等.单唾液酸四己糖神经节苷脂钠治疗自发性脑出血恢复期的疗效观察[J].现代医药卫生,2013,29(4):492,495.</w:t>
      </w:r>
    </w:p>
    <w:p w:rsidR="00151ED2" w:rsidRPr="005F6876" w:rsidRDefault="00151ED2" w:rsidP="00151ED2">
      <w:pPr>
        <w:shd w:val="clear" w:color="auto" w:fill="FFFFFF"/>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[9]李计成,李晓明,戴如飞等.单唾液酸四己糖神经节苷脂对颅脑损伤患者血清中神经元特异性烯醇化酶的影响及其临床意义[J].实用心脑肺血管病杂志,2013,21(2):36-38.</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43" w:rsidRDefault="00795A43" w:rsidP="00151ED2">
      <w:pPr>
        <w:spacing w:after="0"/>
      </w:pPr>
      <w:r>
        <w:separator/>
      </w:r>
    </w:p>
  </w:endnote>
  <w:endnote w:type="continuationSeparator" w:id="0">
    <w:p w:rsidR="00795A43" w:rsidRDefault="00795A43" w:rsidP="00151E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43" w:rsidRDefault="00795A43" w:rsidP="00151ED2">
      <w:pPr>
        <w:spacing w:after="0"/>
      </w:pPr>
      <w:r>
        <w:separator/>
      </w:r>
    </w:p>
  </w:footnote>
  <w:footnote w:type="continuationSeparator" w:id="0">
    <w:p w:rsidR="00795A43" w:rsidRDefault="00795A43" w:rsidP="00151ED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51ED2"/>
    <w:rsid w:val="00323B43"/>
    <w:rsid w:val="003D37D8"/>
    <w:rsid w:val="00426133"/>
    <w:rsid w:val="004358AB"/>
    <w:rsid w:val="00622709"/>
    <w:rsid w:val="00795A4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1ED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51ED2"/>
    <w:rPr>
      <w:rFonts w:ascii="Tahoma" w:hAnsi="Tahoma"/>
      <w:sz w:val="18"/>
      <w:szCs w:val="18"/>
    </w:rPr>
  </w:style>
  <w:style w:type="paragraph" w:styleId="a4">
    <w:name w:val="footer"/>
    <w:basedOn w:val="a"/>
    <w:link w:val="Char0"/>
    <w:uiPriority w:val="99"/>
    <w:semiHidden/>
    <w:unhideWhenUsed/>
    <w:rsid w:val="00151ED2"/>
    <w:pPr>
      <w:tabs>
        <w:tab w:val="center" w:pos="4153"/>
        <w:tab w:val="right" w:pos="8306"/>
      </w:tabs>
    </w:pPr>
    <w:rPr>
      <w:sz w:val="18"/>
      <w:szCs w:val="18"/>
    </w:rPr>
  </w:style>
  <w:style w:type="character" w:customStyle="1" w:styleId="Char0">
    <w:name w:val="页脚 Char"/>
    <w:basedOn w:val="a0"/>
    <w:link w:val="a4"/>
    <w:uiPriority w:val="99"/>
    <w:semiHidden/>
    <w:rsid w:val="00151ED2"/>
    <w:rPr>
      <w:rFonts w:ascii="Tahoma" w:hAnsi="Tahoma"/>
      <w:sz w:val="18"/>
      <w:szCs w:val="18"/>
    </w:rPr>
  </w:style>
  <w:style w:type="paragraph" w:styleId="a5">
    <w:name w:val="List Paragraph"/>
    <w:basedOn w:val="a"/>
    <w:uiPriority w:val="34"/>
    <w:qFormat/>
    <w:rsid w:val="00151ED2"/>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微软用户</cp:lastModifiedBy>
  <cp:revision>2</cp:revision>
  <dcterms:created xsi:type="dcterms:W3CDTF">2008-09-11T17:20:00Z</dcterms:created>
  <dcterms:modified xsi:type="dcterms:W3CDTF">2014-04-22T06:57:00Z</dcterms:modified>
</cp:coreProperties>
</file>