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河南中医药大学科研经费预算调整审批（备案）表</w:t>
      </w:r>
    </w:p>
    <w:tbl>
      <w:tblPr>
        <w:tblStyle w:val="2"/>
        <w:tblW w:w="9445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1324"/>
        <w:gridCol w:w="1290"/>
        <w:gridCol w:w="142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684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课题编号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支出项目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调整前（万元）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调整后（万元）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调整比例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1、设备费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⑴ 购置设备费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⑵ 试制设备费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⑶ 设备改造与租赁费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2、材料费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3、测试化验加工费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4、燃料动力费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5、差旅费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6、会议费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7、国际合作交流费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8、出版/文献/信息传播/ 知识产权事务费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9、劳务费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10、专家咨询费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11、资料费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12、数据采集费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13、其他支出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6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32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810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215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项目负责人意见：（签字）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730" w:firstLineChars="13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月   日</w:t>
            </w:r>
          </w:p>
        </w:tc>
        <w:tc>
          <w:tcPr>
            <w:tcW w:w="423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院部意见：（签字、公章）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2520" w:firstLineChars="1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2520" w:firstLineChars="1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215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科学技术处意见：（签字、公章）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360" w:lineRule="auto"/>
              <w:ind w:firstLine="2730" w:firstLineChars="13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  <w:tc>
          <w:tcPr>
            <w:tcW w:w="423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计划财务处意见：（签字、公章）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auto"/>
              <w:ind w:firstLine="2520" w:firstLineChars="1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仿宋_GB2312" w:hAnsi="方正小标宋简体" w:cs="方正小标宋简体"/>
          <w:bCs/>
          <w:sz w:val="24"/>
          <w:szCs w:val="24"/>
        </w:rPr>
        <w:t>备注：审批或备案权限按本文件中规定标准执行</w:t>
      </w:r>
      <w:r>
        <w:rPr>
          <w:rFonts w:hint="eastAsia" w:ascii="仿宋_GB2312" w:hAnsi="方正小标宋简体" w:cs="方正小标宋简体"/>
          <w:bCs/>
          <w:sz w:val="24"/>
          <w:szCs w:val="24"/>
          <w:lang w:eastAsia="zh-CN"/>
        </w:rPr>
        <w:t>、院部意见由院部负责人签字。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779A"/>
    <w:rsid w:val="0CC61B15"/>
    <w:rsid w:val="1BC00E2B"/>
    <w:rsid w:val="1EF143F9"/>
    <w:rsid w:val="20BC4E8F"/>
    <w:rsid w:val="4C496A54"/>
    <w:rsid w:val="51095E3C"/>
    <w:rsid w:val="71EE14FB"/>
    <w:rsid w:val="7BD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lenovo1</cp:lastModifiedBy>
  <dcterms:modified xsi:type="dcterms:W3CDTF">2019-10-09T01:42:21Z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